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7B7B7B" w:themeColor="accent3" w:themeShade="BF"/>
  <w:body>
    <w:p w:rsidR="00CF00A9" w:rsidRDefault="00CF00A9" w:rsidP="00AA42AE">
      <w:pPr>
        <w:jc w:val="center"/>
        <w:rPr>
          <w:sz w:val="32"/>
          <w:u w:val="single"/>
        </w:rPr>
      </w:pPr>
      <w:r w:rsidRPr="00CF00A9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B46035" wp14:editId="26DBBE34">
                <wp:simplePos x="0" y="0"/>
                <wp:positionH relativeFrom="column">
                  <wp:posOffset>-130077</wp:posOffset>
                </wp:positionH>
                <wp:positionV relativeFrom="paragraph">
                  <wp:posOffset>-218782</wp:posOffset>
                </wp:positionV>
                <wp:extent cx="4495800" cy="679517"/>
                <wp:effectExtent l="0" t="0" r="0" b="63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679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00A9" w:rsidRPr="008D4906" w:rsidRDefault="00CF00A9" w:rsidP="00CF00A9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D4906"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LES TRAINS ROULANTS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46035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-10.25pt;margin-top:-17.25pt;width:354pt;height:53.5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" filled="f" stroked="f">
                <v:textbox>
                  <w:txbxContent>
                    <w:p w:rsidR="00CF00A9" w:rsidRPr="008D4906" w:rsidRDefault="00CF00A9" w:rsidP="00CF00A9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8D4906"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LES TRAINS ROULANTS</w:t>
                      </w:r>
                    </w:p>
                  </w:txbxContent>
                </v:textbox>
              </v:shape>
            </w:pict>
          </mc:Fallback>
        </mc:AlternateContent>
      </w:r>
    </w:p>
    <w:p w:rsidR="00CF00A9" w:rsidRDefault="00CF00A9" w:rsidP="00AA42AE">
      <w:pPr>
        <w:jc w:val="center"/>
        <w:rPr>
          <w:sz w:val="32"/>
          <w:u w:val="single"/>
        </w:rPr>
      </w:pPr>
      <w:r w:rsidRPr="00CF00A9">
        <w:rPr>
          <w:noProof/>
          <w:sz w:val="32"/>
          <w:u w:val="single"/>
        </w:rPr>
        <w:drawing>
          <wp:anchor distT="0" distB="0" distL="114300" distR="114300" simplePos="0" relativeHeight="251695104" behindDoc="0" locked="0" layoutInCell="1" allowOverlap="1" wp14:anchorId="34ACE3E6" wp14:editId="67AFCE89">
            <wp:simplePos x="0" y="0"/>
            <wp:positionH relativeFrom="margin">
              <wp:align>left</wp:align>
            </wp:positionH>
            <wp:positionV relativeFrom="paragraph">
              <wp:posOffset>38393</wp:posOffset>
            </wp:positionV>
            <wp:extent cx="2276703" cy="1237957"/>
            <wp:effectExtent l="0" t="0" r="0" b="63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oSport11007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703" cy="1237957"/>
                    </a:xfrm>
                    <a:prstGeom prst="rect">
                      <a:avLst/>
                    </a:prstGeom>
                    <a:effectLst>
                      <a:glow>
                        <a:schemeClr val="accent1">
                          <a:alpha val="0"/>
                        </a:schemeClr>
                      </a:glow>
                      <a:innerShdw blurRad="63500" dist="50800" dir="2700000">
                        <a:schemeClr val="tx1"/>
                      </a:innerShdw>
                      <a:softEdge rad="2413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877" w:rsidRPr="008D4906" w:rsidRDefault="00AA42AE" w:rsidP="00CF00A9">
      <w:pPr>
        <w:jc w:val="right"/>
        <w:rPr>
          <w:sz w:val="24"/>
          <w:u w:val="single"/>
        </w:rPr>
      </w:pPr>
      <w:r w:rsidRPr="008D4906">
        <w:rPr>
          <w:sz w:val="36"/>
          <w:u w:val="single"/>
        </w:rPr>
        <w:t>NOTICE ET PRECONISATION</w:t>
      </w:r>
      <w:r w:rsidR="001948F5" w:rsidRPr="008D4906">
        <w:rPr>
          <w:sz w:val="36"/>
          <w:u w:val="single"/>
        </w:rPr>
        <w:t>S</w:t>
      </w:r>
      <w:r w:rsidRPr="008D4906">
        <w:rPr>
          <w:sz w:val="36"/>
          <w:u w:val="single"/>
        </w:rPr>
        <w:t xml:space="preserve"> D’UTILISATION</w:t>
      </w:r>
    </w:p>
    <w:p w:rsidR="00AA42AE" w:rsidRDefault="00AA42AE"/>
    <w:p w:rsidR="008D4906" w:rsidRDefault="008D4906"/>
    <w:p w:rsidR="00AA42AE" w:rsidRDefault="00AA42AE" w:rsidP="004F7504">
      <w:pPr>
        <w:ind w:firstLine="708"/>
      </w:pPr>
      <w:r>
        <w:t xml:space="preserve">Le module de formation sur « Les trains roulants » est conçu pour répondre aux exigences du référentiels </w:t>
      </w:r>
      <w:r w:rsidRPr="00FC5EFF">
        <w:rPr>
          <w:b/>
        </w:rPr>
        <w:t>Bac Pro réparation des carrosseries</w:t>
      </w:r>
      <w:r w:rsidR="002D3FB0">
        <w:t xml:space="preserve">. Il est composé de 4 </w:t>
      </w:r>
      <w:r w:rsidR="004F7504">
        <w:t>centres d’intérêt</w:t>
      </w:r>
      <w:r w:rsidR="002D3FB0">
        <w:t xml:space="preserve"> à réaliser dans l’ordre. Chaque partie est </w:t>
      </w:r>
      <w:r w:rsidR="004F7504">
        <w:t xml:space="preserve">à valider par une évaluation qui devrait être en premier lieu formative et renouvelée jusqu’à une atteinte correcte des objectifs du centre d’intérêt. </w:t>
      </w:r>
      <w:bookmarkStart w:id="0" w:name="_GoBack"/>
      <w:bookmarkEnd w:id="0"/>
    </w:p>
    <w:p w:rsidR="006A380D" w:rsidRDefault="006A380D" w:rsidP="004F7504">
      <w:pPr>
        <w:ind w:firstLine="708"/>
      </w:pPr>
      <w:r>
        <w:t>La progression sur les trois ans es</w:t>
      </w:r>
      <w:r w:rsidR="00D23194">
        <w:t>t indiquée à titre informatif. Elle</w:t>
      </w:r>
      <w:r>
        <w:t xml:space="preserve"> </w:t>
      </w:r>
      <w:r w:rsidR="008D7D44">
        <w:t>tient</w:t>
      </w:r>
      <w:r>
        <w:t xml:space="preserve"> compte des impératifs des différentes échéances certificatives. </w:t>
      </w:r>
      <w:r w:rsidR="00D23194">
        <w:t>Dans chaque activité vous pouvez retrouver les indications de progression suivantes :</w:t>
      </w:r>
    </w:p>
    <w:p w:rsidR="00D23194" w:rsidRDefault="00D23194" w:rsidP="004F7504">
      <w:pPr>
        <w:ind w:firstLine="7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3850</wp:posOffset>
                </wp:positionV>
                <wp:extent cx="4199288" cy="393539"/>
                <wp:effectExtent l="19050" t="0" r="29845" b="26035"/>
                <wp:wrapNone/>
                <wp:docPr id="194" name="Groupe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9288" cy="393539"/>
                          <a:chOff x="0" y="0"/>
                          <a:chExt cx="4199288" cy="393539"/>
                        </a:xfrm>
                      </wpg:grpSpPr>
                      <wps:wsp>
                        <wps:cNvPr id="31" name="Flèche : chevron 31"/>
                        <wps:cNvSpPr/>
                        <wps:spPr>
                          <a:xfrm>
                            <a:off x="0" y="5787"/>
                            <a:ext cx="1351915" cy="387350"/>
                          </a:xfrm>
                          <a:prstGeom prst="chevron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3194" w:rsidRPr="004F7504" w:rsidRDefault="00D23194" w:rsidP="00D23194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F7504">
                                <w:rPr>
                                  <w:color w:val="000000" w:themeColor="text1"/>
                                  <w:sz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SECONDE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Flèche : chevron 192"/>
                        <wps:cNvSpPr/>
                        <wps:spPr>
                          <a:xfrm>
                            <a:off x="1348450" y="0"/>
                            <a:ext cx="1352469" cy="387752"/>
                          </a:xfrm>
                          <a:prstGeom prst="chevron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3194" w:rsidRPr="004F7504" w:rsidRDefault="00D23194" w:rsidP="00D23194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PREMIERE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Flèche : chevron 193"/>
                        <wps:cNvSpPr/>
                        <wps:spPr>
                          <a:xfrm>
                            <a:off x="2691114" y="5787"/>
                            <a:ext cx="1508174" cy="387752"/>
                          </a:xfrm>
                          <a:prstGeom prst="chevron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3194" w:rsidRPr="004F7504" w:rsidRDefault="00D23194" w:rsidP="00D23194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TERMINALE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94" o:spid="_x0000_s1027" style="position:absolute;left:0;text-align:left;margin-left:0;margin-top:.3pt;width:330.65pt;height:31pt;z-index:251693056;mso-position-horizontal:center;mso-position-horizontal-relative:margin" coordsize="41992,3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Flèche : chevron 31" o:spid="_x0000_s1028" type="#_x0000_t55" style="position:absolute;top:57;width:13519;height:38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" adj="18506" fillcolor="#d8d8d8 [2732]" strokecolor="#1f3763 [1604]" strokeweight="1pt">
                  <v:textbox>
                    <w:txbxContent>
                      <w:p w:rsidR="00D23194" w:rsidRPr="004F7504" w:rsidRDefault="00D23194" w:rsidP="00D23194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F7504">
                          <w:rPr>
                            <w:color w:val="000000" w:themeColor="text1"/>
                            <w:sz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SECONDE</w:t>
                        </w:r>
                      </w:p>
                    </w:txbxContent>
                  </v:textbox>
                </v:shape>
                <v:shape id="Flèche : chevron 192" o:spid="_x0000_s1029" type="#_x0000_t55" style="position:absolute;left:13484;width:13525;height:3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" adj="18504" fillcolor="#d8d8d8 [2732]" strokecolor="#1f3763 [1604]" strokeweight="1pt">
                  <v:textbox>
                    <w:txbxContent>
                      <w:p w:rsidR="00D23194" w:rsidRPr="004F7504" w:rsidRDefault="00D23194" w:rsidP="00D23194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PREMIERE</w:t>
                        </w:r>
                      </w:p>
                    </w:txbxContent>
                  </v:textbox>
                </v:shape>
                <v:shape id="Flèche : chevron 193" o:spid="_x0000_s1030" type="#_x0000_t55" style="position:absolute;left:26911;top:57;width:15081;height:3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" adj="18823" fillcolor="#d8d8d8 [2732]" strokecolor="#1f3763 [1604]" strokeweight="1pt">
                  <v:textbox>
                    <w:txbxContent>
                      <w:p w:rsidR="00D23194" w:rsidRPr="004F7504" w:rsidRDefault="00D23194" w:rsidP="00D23194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TERMINALE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23194" w:rsidRDefault="00D23194" w:rsidP="004F7504">
      <w:pPr>
        <w:ind w:firstLine="708"/>
      </w:pPr>
    </w:p>
    <w:p w:rsidR="00807124" w:rsidRDefault="00D23194" w:rsidP="004F7504">
      <w:pPr>
        <w:ind w:firstLine="708"/>
      </w:pPr>
      <w:r>
        <w:t xml:space="preserve">Les activités proposées sont conçues pour être travaillées en autonomie par les élèves sur support informatique. </w:t>
      </w:r>
      <w:r w:rsidR="00807124">
        <w:t>Plusieurs stratégies pédagogiques sont possibles :</w:t>
      </w:r>
    </w:p>
    <w:p w:rsidR="00D23194" w:rsidRDefault="00D23194" w:rsidP="00D47B27">
      <w:pPr>
        <w:pStyle w:val="Paragraphedeliste"/>
        <w:numPr>
          <w:ilvl w:val="0"/>
          <w:numId w:val="2"/>
        </w:numPr>
      </w:pPr>
      <w:r>
        <w:t>L’enseignant pourra faire le choix de donner</w:t>
      </w:r>
      <w:r w:rsidR="00807124">
        <w:t xml:space="preserve"> à l’élève</w:t>
      </w:r>
      <w:r>
        <w:t xml:space="preserve"> l’intégralité des activités du centre d’intérêt en corrigeant l’évaluation qui lui sera remise par l’élève</w:t>
      </w:r>
      <w:r w:rsidR="00807124">
        <w:t xml:space="preserve">. </w:t>
      </w:r>
    </w:p>
    <w:p w:rsidR="00807124" w:rsidRDefault="008D7D44" w:rsidP="00D47B27">
      <w:pPr>
        <w:pStyle w:val="Paragraphedeliste"/>
        <w:numPr>
          <w:ilvl w:val="0"/>
          <w:numId w:val="2"/>
        </w:numPr>
      </w:pPr>
      <w:r>
        <w:t xml:space="preserve">(Stratégie à privilégier) </w:t>
      </w:r>
      <w:r w:rsidR="00807124">
        <w:t xml:space="preserve">L’enseignant pourra déposer les différents fichiers sur un espace numérique de travail et attribuer des objectifs à atteindre à chaque activité pour débloquer l’activité suivante. </w:t>
      </w:r>
      <w:r>
        <w:t xml:space="preserve">Les évaluations pourront également être intégrées et corrigées automatiquement avec des retours sur les passages du cours concerné lors des réponses incorrectes. </w:t>
      </w:r>
    </w:p>
    <w:p w:rsidR="008D7D44" w:rsidRDefault="008D7D44" w:rsidP="004F7504">
      <w:pPr>
        <w:ind w:firstLine="708"/>
      </w:pPr>
    </w:p>
    <w:p w:rsidR="00807124" w:rsidRDefault="008D7D44" w:rsidP="004F7504">
      <w:pPr>
        <w:ind w:firstLine="708"/>
      </w:pPr>
      <w:r>
        <w:t xml:space="preserve">Certaines activités nécessitent une mise en œuvre en atelier et de fait un suivi </w:t>
      </w:r>
      <w:r w:rsidR="00D47B27">
        <w:t>par l’enseignant</w:t>
      </w:r>
      <w:r>
        <w:t xml:space="preserve"> comme indiqué sur les documents.</w:t>
      </w:r>
      <w:r w:rsidR="00880FAE">
        <w:t xml:space="preserve"> Les activités devront être également adaptées en fonction du matériel disponible. </w:t>
      </w:r>
    </w:p>
    <w:p w:rsidR="00F04F0C" w:rsidRDefault="00F04F0C" w:rsidP="004F7504">
      <w:pPr>
        <w:ind w:firstLine="708"/>
      </w:pPr>
      <w:r>
        <w:t xml:space="preserve">Au terme de chaque centre d’intérêt il est souhaitable de faire une synthèse des nouveaux savoirs abordés. Cette étape pourra être réalisée avec les différents diaporama en support. </w:t>
      </w:r>
    </w:p>
    <w:p w:rsidR="00905188" w:rsidRPr="00AE7DEC" w:rsidRDefault="00905188" w:rsidP="004F7504">
      <w:pPr>
        <w:ind w:firstLine="708"/>
        <w:rPr>
          <w:sz w:val="18"/>
        </w:rPr>
      </w:pPr>
      <w:r>
        <w:t>Certaines activités sont sous forme de formulaire à remplir par l’élève. Ils sont donc verrouillés en mode formulaire</w:t>
      </w:r>
      <w:r w:rsidR="00925941">
        <w:t xml:space="preserve"> Word ou en PDF.</w:t>
      </w:r>
      <w:r>
        <w:t xml:space="preserve"> </w:t>
      </w:r>
      <w:r w:rsidR="00925941">
        <w:t>S</w:t>
      </w:r>
      <w:r w:rsidR="00F04F0C">
        <w:t>eules</w:t>
      </w:r>
      <w:r>
        <w:t xml:space="preserve"> les cases prévues à cet effet pourront être modifiées. Si vous souhaitez retoucher ou modifier le formulaire</w:t>
      </w:r>
      <w:r w:rsidR="00925941">
        <w:t xml:space="preserve"> Word</w:t>
      </w:r>
      <w:r>
        <w:t xml:space="preserve"> il vous sera demandé un mot de passe. Il vous suffira alors de taper en minuscules </w:t>
      </w:r>
      <w:proofErr w:type="spellStart"/>
      <w:r w:rsidRPr="00905188">
        <w:rPr>
          <w:b/>
          <w:sz w:val="28"/>
        </w:rPr>
        <w:t>bacprocar</w:t>
      </w:r>
      <w:proofErr w:type="spellEnd"/>
      <w:r>
        <w:rPr>
          <w:b/>
          <w:sz w:val="28"/>
        </w:rPr>
        <w:t>.</w:t>
      </w:r>
      <w:r w:rsidR="00AE7DEC">
        <w:rPr>
          <w:b/>
          <w:sz w:val="28"/>
        </w:rPr>
        <w:t xml:space="preserve"> </w:t>
      </w:r>
      <w:r w:rsidR="00AE7DEC" w:rsidRPr="00AE7DEC">
        <w:t xml:space="preserve">(Voir la vidéo tuto comment débloquer un formulaire)  </w:t>
      </w:r>
    </w:p>
    <w:sectPr w:rsidR="00905188" w:rsidRPr="00AE7DEC" w:rsidSect="00AA42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A746B"/>
    <w:multiLevelType w:val="hybridMultilevel"/>
    <w:tmpl w:val="FB605490"/>
    <w:lvl w:ilvl="0" w:tplc="86168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F05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1A7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6CC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624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C27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3CD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E02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ECD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E17303B"/>
    <w:multiLevelType w:val="hybridMultilevel"/>
    <w:tmpl w:val="F4448BA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77"/>
    <w:rsid w:val="001948F5"/>
    <w:rsid w:val="0023728B"/>
    <w:rsid w:val="00276A69"/>
    <w:rsid w:val="002D3FB0"/>
    <w:rsid w:val="003A0877"/>
    <w:rsid w:val="004C3876"/>
    <w:rsid w:val="004F71A6"/>
    <w:rsid w:val="004F7504"/>
    <w:rsid w:val="00597DFB"/>
    <w:rsid w:val="00614A01"/>
    <w:rsid w:val="00660182"/>
    <w:rsid w:val="006A380D"/>
    <w:rsid w:val="00760054"/>
    <w:rsid w:val="007775A8"/>
    <w:rsid w:val="00807124"/>
    <w:rsid w:val="00880FAE"/>
    <w:rsid w:val="008D4906"/>
    <w:rsid w:val="008D7D44"/>
    <w:rsid w:val="008E764E"/>
    <w:rsid w:val="00905188"/>
    <w:rsid w:val="00925941"/>
    <w:rsid w:val="00AA42AE"/>
    <w:rsid w:val="00AE7DEC"/>
    <w:rsid w:val="00B179FB"/>
    <w:rsid w:val="00CF00A9"/>
    <w:rsid w:val="00D15127"/>
    <w:rsid w:val="00D23194"/>
    <w:rsid w:val="00D47B27"/>
    <w:rsid w:val="00DB240F"/>
    <w:rsid w:val="00EE03CE"/>
    <w:rsid w:val="00F04F0C"/>
    <w:rsid w:val="00F95301"/>
    <w:rsid w:val="00FC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DFC9B-9C6D-4E21-AC8A-15E92213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6005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60054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760054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47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21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nicolas</cp:lastModifiedBy>
  <cp:revision>11</cp:revision>
  <dcterms:created xsi:type="dcterms:W3CDTF">2017-09-19T20:54:00Z</dcterms:created>
  <dcterms:modified xsi:type="dcterms:W3CDTF">2017-10-02T06:46:00Z</dcterms:modified>
</cp:coreProperties>
</file>