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55" w:rsidRDefault="000E0DBF" w:rsidP="00770B51">
      <w:pPr>
        <w:ind w:left="284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5pt;margin-top:-11.5pt;width:533.3pt;height:81.95pt;z-index:251660288">
            <v:textbox style="mso-next-textbox:#_x0000_s1026">
              <w:txbxContent>
                <w:p w:rsidR="00990D07" w:rsidRDefault="00990D07" w:rsidP="00BF2E55">
                  <w:pPr>
                    <w:spacing w:after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A4-T2 : Mettre en service de nouveaux biens </w:t>
                  </w:r>
                </w:p>
                <w:p w:rsidR="00BF2E55" w:rsidRDefault="00990D07" w:rsidP="00BF2E55">
                  <w:pPr>
                    <w:spacing w:after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dans le respect des procédures</w:t>
                  </w:r>
                </w:p>
                <w:p w:rsidR="00BF2E55" w:rsidRPr="00763812" w:rsidRDefault="0016583F" w:rsidP="00BF2E55">
                  <w:pPr>
                    <w:spacing w:after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- </w:t>
                  </w:r>
                  <w:r w:rsidR="00BF2E55">
                    <w:rPr>
                      <w:sz w:val="36"/>
                    </w:rPr>
                    <w:t xml:space="preserve">Bac </w:t>
                  </w:r>
                  <w:r>
                    <w:rPr>
                      <w:sz w:val="36"/>
                    </w:rPr>
                    <w:t xml:space="preserve">Pro </w:t>
                  </w:r>
                  <w:r w:rsidR="00BF2E55">
                    <w:rPr>
                      <w:sz w:val="36"/>
                    </w:rPr>
                    <w:t>MEI</w:t>
                  </w:r>
                  <w:r w:rsidR="003B023C">
                    <w:rPr>
                      <w:sz w:val="36"/>
                    </w:rPr>
                    <w:t xml:space="preserve"> -</w:t>
                  </w:r>
                  <w:r w:rsidR="00BF2E55">
                    <w:rPr>
                      <w:sz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1A185F" w:rsidRDefault="001A185F" w:rsidP="00BF2E55">
      <w:pPr>
        <w:spacing w:after="0"/>
        <w:rPr>
          <w:u w:val="single"/>
        </w:rPr>
      </w:pPr>
    </w:p>
    <w:p w:rsidR="001A185F" w:rsidRDefault="001A185F" w:rsidP="00BF2E55">
      <w:pPr>
        <w:spacing w:after="0"/>
        <w:rPr>
          <w:u w:val="single"/>
        </w:rPr>
      </w:pPr>
    </w:p>
    <w:p w:rsidR="001A185F" w:rsidRDefault="001A185F" w:rsidP="00BF2E55">
      <w:pPr>
        <w:spacing w:after="0"/>
        <w:rPr>
          <w:u w:val="single"/>
        </w:rPr>
      </w:pPr>
    </w:p>
    <w:p w:rsidR="001A185F" w:rsidRDefault="001A185F" w:rsidP="00BF2E55">
      <w:pPr>
        <w:spacing w:after="0"/>
        <w:rPr>
          <w:u w:val="single"/>
        </w:rPr>
      </w:pPr>
    </w:p>
    <w:p w:rsidR="00BF2E55" w:rsidRPr="00C65C5A" w:rsidRDefault="00BF2E55" w:rsidP="00BF2E55">
      <w:pPr>
        <w:spacing w:after="0"/>
        <w:rPr>
          <w:b/>
        </w:rPr>
      </w:pPr>
      <w:r w:rsidRPr="00C65C5A">
        <w:rPr>
          <w:b/>
          <w:u w:val="single"/>
        </w:rPr>
        <w:t>Contexte temporel de formation</w:t>
      </w:r>
      <w:r w:rsidRPr="00C65C5A">
        <w:rPr>
          <w:b/>
        </w:rPr>
        <w:t> :</w:t>
      </w:r>
    </w:p>
    <w:p w:rsidR="00BF2E55" w:rsidRDefault="00BF2E55" w:rsidP="00BF2E55">
      <w:pPr>
        <w:spacing w:after="0"/>
      </w:pPr>
      <w:r>
        <w:t xml:space="preserve">Cette séquence de formation peut se situer en </w:t>
      </w:r>
      <w:r w:rsidR="00B85D47">
        <w:t>fin de 3</w:t>
      </w:r>
      <w:r w:rsidR="00B85D47" w:rsidRPr="00B85D47">
        <w:rPr>
          <w:vertAlign w:val="superscript"/>
        </w:rPr>
        <w:t>ème</w:t>
      </w:r>
      <w:r w:rsidR="00B85D47">
        <w:t xml:space="preserve"> année de</w:t>
      </w:r>
      <w:r>
        <w:t xml:space="preserve"> formation</w:t>
      </w:r>
      <w:r w:rsidR="00B420BD">
        <w:t>.</w:t>
      </w:r>
    </w:p>
    <w:p w:rsidR="00BF2E55" w:rsidRDefault="00BF2E55" w:rsidP="00BF2E55">
      <w:pPr>
        <w:spacing w:after="0"/>
      </w:pPr>
    </w:p>
    <w:p w:rsidR="00BF2E55" w:rsidRPr="00C65C5A" w:rsidRDefault="00BF2E55" w:rsidP="00BF2E55">
      <w:pPr>
        <w:spacing w:after="0"/>
        <w:rPr>
          <w:b/>
        </w:rPr>
      </w:pPr>
      <w:r w:rsidRPr="00C65C5A">
        <w:rPr>
          <w:b/>
          <w:u w:val="single"/>
        </w:rPr>
        <w:t>Complexité </w:t>
      </w:r>
      <w:r w:rsidRPr="00C65C5A">
        <w:rPr>
          <w:b/>
        </w:rPr>
        <w:t>:</w:t>
      </w:r>
    </w:p>
    <w:p w:rsidR="00BF2E55" w:rsidRDefault="0049753F" w:rsidP="00BF2E55">
      <w:pPr>
        <w:spacing w:after="0"/>
      </w:pPr>
      <w:r>
        <w:t>Des connaissance</w:t>
      </w:r>
      <w:r w:rsidR="001A51BF">
        <w:t>s</w:t>
      </w:r>
      <w:r>
        <w:t xml:space="preserve"> </w:t>
      </w:r>
      <w:r w:rsidR="00B85D47">
        <w:t>de la symbolisation et des principes fondamentaux sont</w:t>
      </w:r>
      <w:r>
        <w:t xml:space="preserve"> nécessaires en électricité. L'élève doit être capable de reconnaître les appareils électriques de base dans l'armoire électrique et sur le schéma</w:t>
      </w:r>
      <w:r w:rsidR="00B85D47">
        <w:t xml:space="preserve"> de puissance</w:t>
      </w:r>
      <w:r>
        <w:t>.</w:t>
      </w:r>
    </w:p>
    <w:p w:rsidR="00B85D47" w:rsidRDefault="00B85D47" w:rsidP="00BF2E55">
      <w:pPr>
        <w:spacing w:after="0"/>
      </w:pPr>
      <w:r>
        <w:t xml:space="preserve">Les étapes de la consignation doivent être acquises. La manipulation des appareils de mesure tels que multimètre, mégohmmètre et pince </w:t>
      </w:r>
      <w:proofErr w:type="spellStart"/>
      <w:r>
        <w:t>ampèremétrique</w:t>
      </w:r>
      <w:proofErr w:type="spellEnd"/>
      <w:r>
        <w:t xml:space="preserve">, auront déjà été abordés. </w:t>
      </w:r>
    </w:p>
    <w:p w:rsidR="00BC65DD" w:rsidRDefault="000E0DBF" w:rsidP="00BF2E55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343.25pt;margin-top:8.95pt;width:188.5pt;height:119.95pt;z-index:-251619328;mso-position-horizontal-relative:text;mso-position-vertical-relative:text" wrapcoords="-86 0 -86 21465 21600 21465 21600 0 -86 0">
            <v:imagedata r:id="rId8" o:title="Technicien mesures"/>
            <w10:wrap type="tight"/>
          </v:shape>
        </w:pict>
      </w:r>
    </w:p>
    <w:p w:rsidR="00BF2E55" w:rsidRDefault="00BF2E55" w:rsidP="00BF2E55">
      <w:pPr>
        <w:spacing w:after="0"/>
      </w:pPr>
      <w:r w:rsidRPr="00C65C5A">
        <w:rPr>
          <w:b/>
          <w:u w:val="single"/>
        </w:rPr>
        <w:t>Activités du référentiel</w:t>
      </w:r>
      <w:r>
        <w:t xml:space="preserve"> : </w:t>
      </w:r>
    </w:p>
    <w:p w:rsidR="00BF2E55" w:rsidRDefault="00B85D47" w:rsidP="00BF2E55">
      <w:pPr>
        <w:spacing w:after="0"/>
      </w:pPr>
      <w:r>
        <w:t>A4-T2 : Mettre en service de nouveaux biens.</w:t>
      </w:r>
    </w:p>
    <w:p w:rsidR="00BF2E55" w:rsidRDefault="00BF2E55" w:rsidP="00BF2E55">
      <w:pPr>
        <w:spacing w:after="0"/>
      </w:pPr>
    </w:p>
    <w:p w:rsidR="00BF2E55" w:rsidRPr="00C65C5A" w:rsidRDefault="00BF2E55" w:rsidP="00BF2E55">
      <w:pPr>
        <w:spacing w:after="0"/>
        <w:rPr>
          <w:b/>
        </w:rPr>
      </w:pPr>
      <w:r w:rsidRPr="00C65C5A">
        <w:rPr>
          <w:b/>
          <w:u w:val="single"/>
        </w:rPr>
        <w:t>Compétences visées</w:t>
      </w:r>
      <w:r w:rsidRPr="00C65C5A">
        <w:rPr>
          <w:b/>
        </w:rPr>
        <w:t xml:space="preserve"> : </w:t>
      </w:r>
    </w:p>
    <w:p w:rsidR="00D40D78" w:rsidRDefault="00D40D78" w:rsidP="00BF2E55">
      <w:pPr>
        <w:spacing w:after="0"/>
      </w:pPr>
      <w:r>
        <w:t>CP1.</w:t>
      </w:r>
      <w:r w:rsidR="00B85D47">
        <w:t>6 : Mettre en service un bien dans le respect des procédures</w:t>
      </w:r>
      <w:r w:rsidR="00911B36">
        <w:t>.</w:t>
      </w:r>
    </w:p>
    <w:p w:rsidR="00BF2E55" w:rsidRDefault="00D40D78" w:rsidP="00BF2E55">
      <w:pPr>
        <w:spacing w:after="0"/>
      </w:pPr>
      <w:r>
        <w:t>CP</w:t>
      </w:r>
      <w:r w:rsidR="00B85D47">
        <w:t>1.7 : Identifier les risques, définir et mettre en œuvre les mesures de prévention adaptées</w:t>
      </w:r>
    </w:p>
    <w:p w:rsidR="00911B36" w:rsidRDefault="00911B36" w:rsidP="00BF2E55">
      <w:pPr>
        <w:spacing w:after="0"/>
      </w:pPr>
      <w:r>
        <w:t>CP4.2 : Rédiger et argumenter des comptes-rendus.</w:t>
      </w:r>
    </w:p>
    <w:p w:rsidR="0003256F" w:rsidRDefault="0003256F" w:rsidP="00BF2E55">
      <w:pPr>
        <w:spacing w:after="0"/>
      </w:pPr>
    </w:p>
    <w:p w:rsidR="0003256F" w:rsidRPr="0003256F" w:rsidRDefault="0003256F" w:rsidP="00BF2E55">
      <w:pPr>
        <w:spacing w:after="0"/>
        <w:rPr>
          <w:b/>
        </w:rPr>
      </w:pPr>
      <w:r w:rsidRPr="0003256F">
        <w:rPr>
          <w:b/>
          <w:u w:val="single"/>
        </w:rPr>
        <w:t>Objectif de la formation</w:t>
      </w:r>
      <w:r w:rsidRPr="0003256F">
        <w:rPr>
          <w:b/>
        </w:rPr>
        <w:t xml:space="preserve"> :</w:t>
      </w:r>
    </w:p>
    <w:p w:rsidR="00C77DBF" w:rsidRDefault="0003256F" w:rsidP="00BF2E55">
      <w:pPr>
        <w:spacing w:after="0"/>
      </w:pPr>
      <w:r>
        <w:t xml:space="preserve">Etre capable </w:t>
      </w:r>
      <w:r w:rsidR="00911B36">
        <w:t>d’identifier les risques liés aux équipements électriques et de mett</w:t>
      </w:r>
      <w:r w:rsidR="004520B5">
        <w:t>r</w:t>
      </w:r>
      <w:r w:rsidR="00911B36">
        <w:t>e en œuvre des mesures de prévention adaptées.</w:t>
      </w:r>
    </w:p>
    <w:p w:rsidR="00911B36" w:rsidRDefault="00911B36" w:rsidP="00BF2E55">
      <w:pPr>
        <w:spacing w:after="0"/>
      </w:pPr>
      <w:r>
        <w:t xml:space="preserve">Etre capable </w:t>
      </w:r>
      <w:r w:rsidR="004520B5">
        <w:t>de réaliser différents tests électriques</w:t>
      </w:r>
      <w:r>
        <w:t xml:space="preserve"> dans le respect d’une procédure.</w:t>
      </w:r>
    </w:p>
    <w:p w:rsidR="00911B36" w:rsidRDefault="00911B36" w:rsidP="00BF2E55">
      <w:pPr>
        <w:spacing w:after="0"/>
      </w:pPr>
      <w:r>
        <w:t>Etre capable de rendre compte de l’état d’un système en complétant une fiche bilan et en signalant</w:t>
      </w:r>
      <w:r w:rsidR="004520B5">
        <w:t xml:space="preserve"> les anomalies constatées en identifiant les informations relatives à la maintenance.</w:t>
      </w:r>
    </w:p>
    <w:p w:rsidR="00AA0D99" w:rsidRDefault="00AA0D99" w:rsidP="00BF2E55">
      <w:pPr>
        <w:spacing w:after="0"/>
      </w:pPr>
      <w:r>
        <w:t>Etre capable d’identifier les chaînes de sécurité et d’alimentation.</w:t>
      </w:r>
    </w:p>
    <w:p w:rsidR="0003256F" w:rsidRDefault="0003256F" w:rsidP="00BF2E55">
      <w:pPr>
        <w:spacing w:after="0"/>
      </w:pPr>
    </w:p>
    <w:p w:rsidR="0003256F" w:rsidRPr="0003256F" w:rsidRDefault="0003256F" w:rsidP="00BF2E55">
      <w:pPr>
        <w:spacing w:after="0"/>
        <w:rPr>
          <w:b/>
        </w:rPr>
      </w:pPr>
      <w:r w:rsidRPr="0003256F">
        <w:rPr>
          <w:b/>
          <w:u w:val="single"/>
        </w:rPr>
        <w:t>Objectif de la séquence</w:t>
      </w:r>
      <w:r w:rsidRPr="0003256F">
        <w:rPr>
          <w:b/>
        </w:rPr>
        <w:t xml:space="preserve"> :</w:t>
      </w:r>
    </w:p>
    <w:p w:rsidR="0003256F" w:rsidRDefault="0003256F" w:rsidP="00BF2E55">
      <w:pPr>
        <w:spacing w:after="0"/>
      </w:pPr>
      <w:r>
        <w:t xml:space="preserve">Etre capable </w:t>
      </w:r>
      <w:r w:rsidR="004520B5">
        <w:t>de mettre en service un nouveau système en signalant les anomalies constatées</w:t>
      </w:r>
      <w:r>
        <w:t>.</w:t>
      </w:r>
    </w:p>
    <w:p w:rsidR="001B6052" w:rsidRDefault="001B6052" w:rsidP="00BF2E55">
      <w:pPr>
        <w:spacing w:after="0"/>
      </w:pPr>
      <w:r>
        <w:t>Etre capable d’identifier les risques d’origines électriques et d’y appliquer la maintenance préventive.</w:t>
      </w:r>
    </w:p>
    <w:p w:rsidR="0003256F" w:rsidRDefault="0003256F" w:rsidP="00BF2E55">
      <w:pPr>
        <w:spacing w:after="0"/>
      </w:pPr>
    </w:p>
    <w:p w:rsidR="00C77DBF" w:rsidRPr="00C65C5A" w:rsidRDefault="00C77DBF" w:rsidP="00BF2E55">
      <w:pPr>
        <w:spacing w:after="0"/>
        <w:rPr>
          <w:b/>
        </w:rPr>
      </w:pPr>
      <w:r w:rsidRPr="00C65C5A">
        <w:rPr>
          <w:b/>
          <w:u w:val="single"/>
        </w:rPr>
        <w:t>Savoirs visés</w:t>
      </w:r>
      <w:r w:rsidRPr="00C65C5A">
        <w:rPr>
          <w:b/>
        </w:rPr>
        <w:t xml:space="preserve"> :</w:t>
      </w:r>
    </w:p>
    <w:p w:rsidR="00C77DBF" w:rsidRDefault="00C77DBF" w:rsidP="00BF2E55">
      <w:pPr>
        <w:spacing w:after="0"/>
      </w:pPr>
      <w:r>
        <w:t xml:space="preserve">- </w:t>
      </w:r>
      <w:r w:rsidR="004520B5">
        <w:t>Utiliser correctement les appareils de mesures électriques.</w:t>
      </w:r>
    </w:p>
    <w:p w:rsidR="00C77DBF" w:rsidRDefault="001A51BF" w:rsidP="00BF2E55">
      <w:pPr>
        <w:spacing w:after="0"/>
      </w:pPr>
      <w:r>
        <w:t xml:space="preserve">- </w:t>
      </w:r>
      <w:r w:rsidR="004520B5">
        <w:t>Identifier les valeurs et paramètres physiques mesurés</w:t>
      </w:r>
      <w:r>
        <w:t>.</w:t>
      </w:r>
    </w:p>
    <w:p w:rsidR="00BF2E55" w:rsidRDefault="00BF2E55" w:rsidP="00BF2E55">
      <w:pPr>
        <w:spacing w:after="0"/>
      </w:pPr>
    </w:p>
    <w:p w:rsidR="00BF2E55" w:rsidRPr="00C65C5A" w:rsidRDefault="00BF2E55" w:rsidP="00BF2E55">
      <w:pPr>
        <w:spacing w:after="0"/>
        <w:rPr>
          <w:b/>
        </w:rPr>
      </w:pPr>
      <w:r w:rsidRPr="00C65C5A">
        <w:rPr>
          <w:b/>
          <w:u w:val="single"/>
        </w:rPr>
        <w:t>Déroulement de la séquence</w:t>
      </w:r>
      <w:r w:rsidRPr="00C65C5A">
        <w:rPr>
          <w:b/>
        </w:rPr>
        <w:t> :</w:t>
      </w:r>
    </w:p>
    <w:p w:rsidR="00BF2E55" w:rsidRDefault="00BF2E55" w:rsidP="00BF2E55">
      <w:pPr>
        <w:spacing w:after="0"/>
      </w:pPr>
      <w:r>
        <w:t>Cette séquence s’articule en 3 phase</w:t>
      </w:r>
      <w:r w:rsidR="00446B77">
        <w:t>s sur 2</w:t>
      </w:r>
      <w:r w:rsidR="00D40D78">
        <w:t xml:space="preserve"> semaines (</w:t>
      </w:r>
      <w:r w:rsidR="00446B77">
        <w:t>3</w:t>
      </w:r>
      <w:r>
        <w:t xml:space="preserve"> séances</w:t>
      </w:r>
      <w:r w:rsidR="00D40D78">
        <w:t xml:space="preserve"> de 4h</w:t>
      </w:r>
      <w:r>
        <w:t>).</w:t>
      </w:r>
    </w:p>
    <w:p w:rsidR="00BF2E55" w:rsidRDefault="00BF2E55" w:rsidP="00BF2E55">
      <w:pPr>
        <w:spacing w:after="0"/>
      </w:pPr>
      <w:r>
        <w:t xml:space="preserve">Phase 1 : Séance d’introduction </w:t>
      </w:r>
      <w:r w:rsidR="004520B5">
        <w:t>et de lancement (1h)</w:t>
      </w:r>
    </w:p>
    <w:p w:rsidR="00BF2E55" w:rsidRDefault="00BF2E55" w:rsidP="00BF2E55">
      <w:pPr>
        <w:spacing w:after="0"/>
      </w:pPr>
      <w:r>
        <w:t xml:space="preserve">Phase 2 : Activités pratiques </w:t>
      </w:r>
      <w:r w:rsidR="004520B5">
        <w:t>(3 séances de 4h)</w:t>
      </w:r>
    </w:p>
    <w:p w:rsidR="00BF2E55" w:rsidRDefault="00BF2E55" w:rsidP="00BF2E55">
      <w:pPr>
        <w:spacing w:after="0"/>
      </w:pPr>
      <w:r>
        <w:t>Phase 3 : Synthèse des activités (1 séance</w:t>
      </w:r>
      <w:r w:rsidR="00446B77">
        <w:t xml:space="preserve"> d’1h</w:t>
      </w:r>
      <w:r>
        <w:t>)</w:t>
      </w:r>
    </w:p>
    <w:p w:rsidR="003E27F8" w:rsidRDefault="003E27F8" w:rsidP="00BF2E55">
      <w:pPr>
        <w:spacing w:after="0"/>
      </w:pPr>
    </w:p>
    <w:p w:rsidR="00AF0A27" w:rsidRPr="00C65C5A" w:rsidRDefault="00AF0A27" w:rsidP="00AF0A27">
      <w:pPr>
        <w:rPr>
          <w:b/>
        </w:rPr>
      </w:pPr>
      <w:r w:rsidRPr="00C65C5A">
        <w:rPr>
          <w:b/>
          <w:u w:val="single"/>
        </w:rPr>
        <w:t>Systèmes pouvant être utilisés</w:t>
      </w:r>
      <w:r w:rsidRPr="00C65C5A">
        <w:rPr>
          <w:b/>
        </w:rPr>
        <w:t xml:space="preserve"> :</w:t>
      </w:r>
    </w:p>
    <w:p w:rsidR="00AF0A27" w:rsidRPr="00F36896" w:rsidRDefault="00AF0A27" w:rsidP="00AF0A27">
      <w:r>
        <w:t>Tous systèmes industriels</w:t>
      </w:r>
    </w:p>
    <w:p w:rsidR="00990D07" w:rsidRDefault="00990D07">
      <w:r>
        <w:br w:type="page"/>
      </w:r>
    </w:p>
    <w:p w:rsidR="003E434B" w:rsidRPr="003E434B" w:rsidRDefault="003E434B" w:rsidP="003E434B">
      <w:pPr>
        <w:rPr>
          <w:b/>
        </w:rPr>
        <w:sectPr w:rsidR="003E434B" w:rsidRPr="003E434B" w:rsidSect="001A185F">
          <w:pgSz w:w="11906" w:h="16838"/>
          <w:pgMar w:top="567" w:right="707" w:bottom="568" w:left="567" w:header="708" w:footer="708" w:gutter="0"/>
          <w:cols w:space="708"/>
          <w:docGrid w:linePitch="360"/>
        </w:sectPr>
      </w:pPr>
    </w:p>
    <w:p w:rsidR="006C2D00" w:rsidRDefault="000E0DBF" w:rsidP="00F36896">
      <w:r>
        <w:rPr>
          <w:noProof/>
          <w:lang w:eastAsia="fr-FR"/>
        </w:rPr>
        <w:lastRenderedPageBreak/>
        <w:pict>
          <v:shape id="_x0000_s1030" type="#_x0000_t202" style="position:absolute;margin-left:358.3pt;margin-top:3.25pt;width:241.8pt;height:33.3pt;z-index:251665408;mso-position-horizontal-relative:text;mso-position-vertical-relative:text" filled="f" stroked="f">
            <v:textbox style="mso-next-textbox:#_x0000_s1030">
              <w:txbxContent>
                <w:p w:rsidR="00C65C5A" w:rsidRPr="00C65C5A" w:rsidRDefault="0018228D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Carte de </w:t>
                  </w:r>
                  <w:r w:rsidR="00C65C5A" w:rsidRPr="00C65C5A">
                    <w:rPr>
                      <w:b/>
                      <w:sz w:val="36"/>
                    </w:rPr>
                    <w:t>la séquence</w:t>
                  </w:r>
                </w:p>
              </w:txbxContent>
            </v:textbox>
          </v:shape>
        </w:pict>
      </w:r>
      <w:r w:rsidR="00B26751">
        <w:rPr>
          <w:noProof/>
          <w:lang w:eastAsia="fr-FR"/>
        </w:rPr>
        <w:drawing>
          <wp:inline distT="0" distB="0" distL="0" distR="0">
            <wp:extent cx="9521190" cy="6750050"/>
            <wp:effectExtent l="19050" t="0" r="3810" b="0"/>
            <wp:docPr id="2" name="Image 1" descr="A4-T2 Carte mentale de la séquence Mise en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-T2 Carte mentale de la séquence Mise en servi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1190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00" w:rsidRDefault="006C2D00" w:rsidP="006C2D00">
      <w:pPr>
        <w:ind w:firstLine="708"/>
        <w:sectPr w:rsidR="006C2D00" w:rsidSect="001A185F">
          <w:pgSz w:w="16838" w:h="11906" w:orient="landscape"/>
          <w:pgMar w:top="709" w:right="567" w:bottom="567" w:left="181" w:header="709" w:footer="709" w:gutter="0"/>
          <w:cols w:space="708"/>
          <w:docGrid w:linePitch="360"/>
        </w:sectPr>
      </w:pPr>
    </w:p>
    <w:p w:rsidR="009A4B8E" w:rsidRDefault="009A4B8E" w:rsidP="006C2D00">
      <w:pPr>
        <w:ind w:firstLine="708"/>
      </w:pPr>
    </w:p>
    <w:p w:rsidR="009A4B8E" w:rsidRDefault="000E0DBF" w:rsidP="006C2D00">
      <w:pPr>
        <w:ind w:firstLine="708"/>
      </w:pPr>
      <w:r>
        <w:rPr>
          <w:noProof/>
          <w:lang w:eastAsia="fr-FR"/>
        </w:rPr>
        <w:pict>
          <v:shape id="_x0000_s1041" type="#_x0000_t202" style="position:absolute;left:0;text-align:left;margin-left:112.95pt;margin-top:.65pt;width:350.7pt;height:28.05pt;z-index:251700224" filled="f" stroked="f">
            <v:textbox>
              <w:txbxContent>
                <w:p w:rsidR="009A4B8E" w:rsidRPr="00C16966" w:rsidRDefault="00C16966" w:rsidP="009A4B8E">
                  <w:pPr>
                    <w:jc w:val="center"/>
                    <w:rPr>
                      <w:b/>
                      <w:sz w:val="36"/>
                    </w:rPr>
                  </w:pPr>
                  <w:r w:rsidRPr="00C16966">
                    <w:rPr>
                      <w:b/>
                      <w:sz w:val="36"/>
                    </w:rPr>
                    <w:t>Carte de la séance 1</w:t>
                  </w:r>
                </w:p>
              </w:txbxContent>
            </v:textbox>
          </v:shape>
        </w:pict>
      </w:r>
    </w:p>
    <w:p w:rsidR="009A4B8E" w:rsidRDefault="009A4B8E" w:rsidP="006C2D00">
      <w:pPr>
        <w:ind w:firstLine="708"/>
      </w:pPr>
    </w:p>
    <w:p w:rsidR="00B26751" w:rsidRDefault="003E434B" w:rsidP="006C2D00">
      <w:pPr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37465</wp:posOffset>
            </wp:positionV>
            <wp:extent cx="10662285" cy="4886325"/>
            <wp:effectExtent l="19050" t="0" r="5715" b="0"/>
            <wp:wrapNone/>
            <wp:docPr id="4" name="Image 3" descr="Carte mentale de la mise en situa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mentale de la mise en situation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228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751" w:rsidRDefault="00B26751" w:rsidP="006C2D00">
      <w:pPr>
        <w:ind w:firstLine="708"/>
      </w:pPr>
    </w:p>
    <w:p w:rsidR="00B26751" w:rsidRDefault="00B26751" w:rsidP="006C2D00">
      <w:pPr>
        <w:ind w:firstLine="708"/>
      </w:pPr>
    </w:p>
    <w:p w:rsidR="00B26751" w:rsidRDefault="00B26751" w:rsidP="006C2D00">
      <w:pPr>
        <w:ind w:firstLine="708"/>
      </w:pPr>
    </w:p>
    <w:p w:rsidR="00B26751" w:rsidRDefault="00B26751" w:rsidP="006C2D00">
      <w:pPr>
        <w:ind w:firstLine="708"/>
      </w:pPr>
    </w:p>
    <w:p w:rsidR="00B26751" w:rsidRDefault="00B26751" w:rsidP="006C2D00">
      <w:pPr>
        <w:ind w:firstLine="708"/>
      </w:pPr>
    </w:p>
    <w:p w:rsidR="00B26751" w:rsidRDefault="00B26751" w:rsidP="006C2D00">
      <w:pPr>
        <w:ind w:firstLine="708"/>
      </w:pPr>
    </w:p>
    <w:p w:rsidR="00B26751" w:rsidRDefault="00B26751" w:rsidP="006C2D00">
      <w:pPr>
        <w:ind w:firstLine="708"/>
      </w:pPr>
    </w:p>
    <w:p w:rsidR="001A185F" w:rsidRDefault="001A185F" w:rsidP="006C2D00">
      <w:pPr>
        <w:ind w:firstLine="708"/>
      </w:pPr>
    </w:p>
    <w:p w:rsidR="00B26751" w:rsidRDefault="00B26751" w:rsidP="006C2D00">
      <w:pPr>
        <w:ind w:firstLine="708"/>
      </w:pPr>
    </w:p>
    <w:p w:rsidR="00B26751" w:rsidRDefault="00B26751" w:rsidP="006C2D00">
      <w:pPr>
        <w:ind w:firstLine="708"/>
      </w:pPr>
    </w:p>
    <w:p w:rsidR="00B26751" w:rsidRDefault="00B26751" w:rsidP="006C2D00">
      <w:pPr>
        <w:ind w:firstLine="708"/>
      </w:pPr>
    </w:p>
    <w:p w:rsidR="00B26751" w:rsidRDefault="00B26751" w:rsidP="006C2D00">
      <w:pPr>
        <w:ind w:firstLine="708"/>
      </w:pPr>
    </w:p>
    <w:p w:rsidR="00B26751" w:rsidRDefault="00B26751" w:rsidP="006C2D00">
      <w:pPr>
        <w:ind w:firstLine="708"/>
      </w:pPr>
    </w:p>
    <w:p w:rsidR="00B26751" w:rsidRDefault="00B26751" w:rsidP="006C2D00">
      <w:pPr>
        <w:ind w:firstLine="708"/>
      </w:pPr>
    </w:p>
    <w:p w:rsidR="00B26751" w:rsidRDefault="00B26751" w:rsidP="006C2D00">
      <w:pPr>
        <w:ind w:firstLine="708"/>
      </w:pPr>
    </w:p>
    <w:p w:rsidR="00B26751" w:rsidRDefault="00B26751" w:rsidP="006C2D00">
      <w:pPr>
        <w:ind w:firstLine="708"/>
      </w:pPr>
    </w:p>
    <w:p w:rsidR="0015709C" w:rsidRPr="006C2D00" w:rsidRDefault="000E0DBF" w:rsidP="00584862">
      <w:r>
        <w:rPr>
          <w:noProof/>
          <w:lang w:eastAsia="fr-FR"/>
        </w:rPr>
        <w:pict>
          <v:shape id="_x0000_s1053" type="#_x0000_t202" style="position:absolute;margin-left:36.95pt;margin-top:320.3pt;width:344.1pt;height:56.95pt;z-index:251689984">
            <v:textbox>
              <w:txbxContent>
                <w:p w:rsidR="001C5AC3" w:rsidRPr="001C5AC3" w:rsidRDefault="001C5AC3">
                  <w:pPr>
                    <w:rPr>
                      <w:sz w:val="32"/>
                    </w:rPr>
                  </w:pPr>
                  <w:r w:rsidRPr="001C5AC3">
                    <w:rPr>
                      <w:sz w:val="32"/>
                    </w:rPr>
                    <w:t>Un diaporama est disponible pour animer cette séance. On y retrouve le contenu de cette carte.</w:t>
                  </w:r>
                </w:p>
              </w:txbxContent>
            </v:textbox>
          </v:shape>
        </w:pict>
      </w:r>
    </w:p>
    <w:sectPr w:rsidR="0015709C" w:rsidRPr="006C2D00" w:rsidSect="0015709C">
      <w:pgSz w:w="16838" w:h="11906" w:orient="landscape"/>
      <w:pgMar w:top="709" w:right="567" w:bottom="567" w:left="18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96" w:rsidRDefault="00F36896" w:rsidP="00F36896">
      <w:pPr>
        <w:spacing w:after="0" w:line="240" w:lineRule="auto"/>
      </w:pPr>
      <w:r>
        <w:separator/>
      </w:r>
    </w:p>
  </w:endnote>
  <w:endnote w:type="continuationSeparator" w:id="0">
    <w:p w:rsidR="00F36896" w:rsidRDefault="00F36896" w:rsidP="00F3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96" w:rsidRDefault="00F36896" w:rsidP="00F36896">
      <w:pPr>
        <w:spacing w:after="0" w:line="240" w:lineRule="auto"/>
      </w:pPr>
      <w:r>
        <w:separator/>
      </w:r>
    </w:p>
  </w:footnote>
  <w:footnote w:type="continuationSeparator" w:id="0">
    <w:p w:rsidR="00F36896" w:rsidRDefault="00F36896" w:rsidP="00F36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84C"/>
    <w:multiLevelType w:val="hybridMultilevel"/>
    <w:tmpl w:val="FC1428AC"/>
    <w:lvl w:ilvl="0" w:tplc="1AFA3CBA">
      <w:start w:val="13"/>
      <w:numFmt w:val="bullet"/>
      <w:lvlText w:val=""/>
      <w:lvlJc w:val="left"/>
      <w:pPr>
        <w:ind w:left="1202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>
    <w:nsid w:val="06883F12"/>
    <w:multiLevelType w:val="hybridMultilevel"/>
    <w:tmpl w:val="B630B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B77C0"/>
    <w:multiLevelType w:val="hybridMultilevel"/>
    <w:tmpl w:val="0EF8A126"/>
    <w:lvl w:ilvl="0" w:tplc="728002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53C93"/>
    <w:multiLevelType w:val="hybridMultilevel"/>
    <w:tmpl w:val="15281B8A"/>
    <w:lvl w:ilvl="0" w:tplc="7280021A">
      <w:start w:val="3"/>
      <w:numFmt w:val="bullet"/>
      <w:lvlText w:val="-"/>
      <w:lvlJc w:val="left"/>
      <w:pPr>
        <w:ind w:left="895" w:hanging="360"/>
      </w:pPr>
      <w:rPr>
        <w:rFonts w:ascii="Calibri" w:eastAsiaTheme="minorHAnsi" w:hAnsi="Calibri" w:cs="Calibri" w:hint="default"/>
        <w:sz w:val="20"/>
      </w:rPr>
    </w:lvl>
    <w:lvl w:ilvl="1" w:tplc="040C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3EDC342C"/>
    <w:multiLevelType w:val="hybridMultilevel"/>
    <w:tmpl w:val="4D8421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0687"/>
    <w:multiLevelType w:val="hybridMultilevel"/>
    <w:tmpl w:val="30F81EAC"/>
    <w:lvl w:ilvl="0" w:tplc="040C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56357E4D"/>
    <w:multiLevelType w:val="hybridMultilevel"/>
    <w:tmpl w:val="0D921E80"/>
    <w:lvl w:ilvl="0" w:tplc="7280021A">
      <w:start w:val="3"/>
      <w:numFmt w:val="bullet"/>
      <w:lvlText w:val="-"/>
      <w:lvlJc w:val="left"/>
      <w:pPr>
        <w:ind w:left="753" w:hanging="360"/>
      </w:pPr>
      <w:rPr>
        <w:rFonts w:ascii="Calibri" w:eastAsiaTheme="minorHAnsi" w:hAnsi="Calibri" w:cs="Calibri" w:hint="default"/>
        <w:sz w:val="20"/>
      </w:rPr>
    </w:lvl>
    <w:lvl w:ilvl="1" w:tplc="040C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9473D7A"/>
    <w:multiLevelType w:val="hybridMultilevel"/>
    <w:tmpl w:val="295032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FD4528"/>
    <w:multiLevelType w:val="hybridMultilevel"/>
    <w:tmpl w:val="A7726806"/>
    <w:lvl w:ilvl="0" w:tplc="040C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>
    <w:nsid w:val="63E228B9"/>
    <w:multiLevelType w:val="hybridMultilevel"/>
    <w:tmpl w:val="1FC2A8A2"/>
    <w:lvl w:ilvl="0" w:tplc="C1625D3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94B63"/>
    <w:multiLevelType w:val="hybridMultilevel"/>
    <w:tmpl w:val="B87268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2D5360"/>
    <w:multiLevelType w:val="hybridMultilevel"/>
    <w:tmpl w:val="5F34E564"/>
    <w:lvl w:ilvl="0" w:tplc="6C5C624C">
      <w:start w:val="13"/>
      <w:numFmt w:val="bullet"/>
      <w:lvlText w:val="-"/>
      <w:lvlJc w:val="left"/>
      <w:pPr>
        <w:ind w:left="5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E55"/>
    <w:rsid w:val="00013582"/>
    <w:rsid w:val="00021514"/>
    <w:rsid w:val="00023157"/>
    <w:rsid w:val="000266AB"/>
    <w:rsid w:val="0003256F"/>
    <w:rsid w:val="00043A04"/>
    <w:rsid w:val="00056455"/>
    <w:rsid w:val="000A3E23"/>
    <w:rsid w:val="000E0DBF"/>
    <w:rsid w:val="00154DDF"/>
    <w:rsid w:val="0015709C"/>
    <w:rsid w:val="0016583F"/>
    <w:rsid w:val="0018228D"/>
    <w:rsid w:val="001A185F"/>
    <w:rsid w:val="001A51BF"/>
    <w:rsid w:val="001B6052"/>
    <w:rsid w:val="001C5AC3"/>
    <w:rsid w:val="00226F65"/>
    <w:rsid w:val="00246060"/>
    <w:rsid w:val="0024679E"/>
    <w:rsid w:val="0029208B"/>
    <w:rsid w:val="002B07D3"/>
    <w:rsid w:val="002B53D3"/>
    <w:rsid w:val="00305AB3"/>
    <w:rsid w:val="003B023C"/>
    <w:rsid w:val="003B76E7"/>
    <w:rsid w:val="003E27F8"/>
    <w:rsid w:val="003E434B"/>
    <w:rsid w:val="00446B77"/>
    <w:rsid w:val="004520B5"/>
    <w:rsid w:val="00460004"/>
    <w:rsid w:val="004935EB"/>
    <w:rsid w:val="0049753F"/>
    <w:rsid w:val="004D3370"/>
    <w:rsid w:val="005062D6"/>
    <w:rsid w:val="00584862"/>
    <w:rsid w:val="005A1077"/>
    <w:rsid w:val="005B198C"/>
    <w:rsid w:val="005D5434"/>
    <w:rsid w:val="0062350A"/>
    <w:rsid w:val="0069604D"/>
    <w:rsid w:val="006C2D00"/>
    <w:rsid w:val="006D1734"/>
    <w:rsid w:val="00724F09"/>
    <w:rsid w:val="00770B51"/>
    <w:rsid w:val="00791FF7"/>
    <w:rsid w:val="007B0A44"/>
    <w:rsid w:val="007D5135"/>
    <w:rsid w:val="007D715B"/>
    <w:rsid w:val="007E3FEF"/>
    <w:rsid w:val="00834406"/>
    <w:rsid w:val="008E3035"/>
    <w:rsid w:val="009023D7"/>
    <w:rsid w:val="00911B36"/>
    <w:rsid w:val="00990D07"/>
    <w:rsid w:val="009A4B8E"/>
    <w:rsid w:val="009D2FB8"/>
    <w:rsid w:val="00A400E3"/>
    <w:rsid w:val="00A51654"/>
    <w:rsid w:val="00AA0D99"/>
    <w:rsid w:val="00AF0A27"/>
    <w:rsid w:val="00B26751"/>
    <w:rsid w:val="00B420BD"/>
    <w:rsid w:val="00B85D47"/>
    <w:rsid w:val="00BC65DD"/>
    <w:rsid w:val="00BD6734"/>
    <w:rsid w:val="00BF2E55"/>
    <w:rsid w:val="00C16966"/>
    <w:rsid w:val="00C65C5A"/>
    <w:rsid w:val="00C77DBF"/>
    <w:rsid w:val="00CC0FE5"/>
    <w:rsid w:val="00CC3838"/>
    <w:rsid w:val="00CD5075"/>
    <w:rsid w:val="00D40D78"/>
    <w:rsid w:val="00D47BFF"/>
    <w:rsid w:val="00D80278"/>
    <w:rsid w:val="00D8083C"/>
    <w:rsid w:val="00DA42E5"/>
    <w:rsid w:val="00E40C7A"/>
    <w:rsid w:val="00F20DCA"/>
    <w:rsid w:val="00F36896"/>
    <w:rsid w:val="00FB6E2B"/>
    <w:rsid w:val="00FD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6896"/>
  </w:style>
  <w:style w:type="paragraph" w:styleId="Pieddepage">
    <w:name w:val="footer"/>
    <w:basedOn w:val="Normal"/>
    <w:link w:val="PieddepageCar"/>
    <w:uiPriority w:val="99"/>
    <w:semiHidden/>
    <w:unhideWhenUsed/>
    <w:rsid w:val="00F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6896"/>
  </w:style>
  <w:style w:type="paragraph" w:styleId="Paragraphedeliste">
    <w:name w:val="List Paragraph"/>
    <w:basedOn w:val="Normal"/>
    <w:uiPriority w:val="34"/>
    <w:qFormat/>
    <w:rsid w:val="00F368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EC37-2130-441C-B0B1-5FDC374A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Colbert de Torcy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eliotb</dc:creator>
  <cp:lastModifiedBy>HP</cp:lastModifiedBy>
  <cp:revision>4</cp:revision>
  <dcterms:created xsi:type="dcterms:W3CDTF">2017-07-06T15:44:00Z</dcterms:created>
  <dcterms:modified xsi:type="dcterms:W3CDTF">2017-07-06T16:24:00Z</dcterms:modified>
</cp:coreProperties>
</file>