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B3" w:rsidRPr="000122B3" w:rsidRDefault="000122B3" w:rsidP="000122B3">
      <w:pPr>
        <w:rPr>
          <w:sz w:val="36"/>
          <w:szCs w:val="36"/>
        </w:rPr>
      </w:pPr>
      <w:r>
        <w:rPr>
          <w:noProof/>
          <w:lang w:eastAsia="fr-FR"/>
        </w:rPr>
        <w:drawing>
          <wp:anchor distT="0" distB="0" distL="114300" distR="114300" simplePos="0" relativeHeight="251658240" behindDoc="1" locked="0" layoutInCell="1" allowOverlap="1">
            <wp:simplePos x="0" y="0"/>
            <wp:positionH relativeFrom="column">
              <wp:posOffset>4758055</wp:posOffset>
            </wp:positionH>
            <wp:positionV relativeFrom="paragraph">
              <wp:posOffset>-13970</wp:posOffset>
            </wp:positionV>
            <wp:extent cx="882650" cy="787400"/>
            <wp:effectExtent l="0" t="0" r="0" b="0"/>
            <wp:wrapTight wrapText="bothSides">
              <wp:wrapPolygon edited="0">
                <wp:start x="0" y="0"/>
                <wp:lineTo x="0" y="20903"/>
                <wp:lineTo x="20512" y="20903"/>
                <wp:lineTo x="20978" y="19335"/>
                <wp:lineTo x="20978" y="1568"/>
                <wp:lineTo x="20512" y="0"/>
                <wp:lineTo x="0" y="0"/>
              </wp:wrapPolygon>
            </wp:wrapTight>
            <wp:docPr id="16" name="Image 14" descr="logo et mascotte STI2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logo et mascotte STI2D.tiff"/>
                    <pic:cNvPicPr>
                      <a:picLocks noChangeAspect="1" noChangeArrowheads="1"/>
                    </pic:cNvPicPr>
                  </pic:nvPicPr>
                  <pic:blipFill>
                    <a:blip r:embed="rId4" cstate="print">
                      <a:clrChange>
                        <a:clrFrom>
                          <a:srgbClr val="FCFCFC"/>
                        </a:clrFrom>
                        <a:clrTo>
                          <a:srgbClr val="FCFCFC">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2650" cy="78740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9264" behindDoc="1" locked="0" layoutInCell="1" allowOverlap="1">
            <wp:simplePos x="0" y="0"/>
            <wp:positionH relativeFrom="column">
              <wp:posOffset>138430</wp:posOffset>
            </wp:positionH>
            <wp:positionV relativeFrom="paragraph">
              <wp:posOffset>-4445</wp:posOffset>
            </wp:positionV>
            <wp:extent cx="1383665" cy="779145"/>
            <wp:effectExtent l="0" t="0" r="6985" b="1905"/>
            <wp:wrapTight wrapText="bothSides">
              <wp:wrapPolygon edited="0">
                <wp:start x="0" y="0"/>
                <wp:lineTo x="0" y="21125"/>
                <wp:lineTo x="21412" y="21125"/>
                <wp:lineTo x="21412" y="0"/>
                <wp:lineTo x="0" y="0"/>
              </wp:wrapPolygon>
            </wp:wrapTight>
            <wp:docPr id="2" name="Image 1" descr="Cabanis rect avec acad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abanis rect avec acad 20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3665" cy="779145"/>
                    </a:xfrm>
                    <a:prstGeom prst="rect">
                      <a:avLst/>
                    </a:prstGeom>
                    <a:noFill/>
                    <a:ln w="9525">
                      <a:noFill/>
                      <a:miter lim="800000"/>
                      <a:headEnd/>
                      <a:tailEnd/>
                    </a:ln>
                  </pic:spPr>
                </pic:pic>
              </a:graphicData>
            </a:graphic>
          </wp:anchor>
        </w:drawing>
      </w:r>
      <w:r>
        <w:rPr>
          <w:sz w:val="36"/>
          <w:szCs w:val="36"/>
        </w:rPr>
        <w:t xml:space="preserve">  </w:t>
      </w:r>
      <w:r w:rsidRPr="000122B3">
        <w:rPr>
          <w:sz w:val="36"/>
          <w:szCs w:val="36"/>
        </w:rPr>
        <w:t>Annexe relative aux consignes</w:t>
      </w:r>
    </w:p>
    <w:p w:rsidR="000122B3" w:rsidRDefault="000122B3"/>
    <w:p w:rsidR="000122B3" w:rsidRDefault="000122B3"/>
    <w:p w:rsidR="000122B3" w:rsidRDefault="000122B3"/>
    <w:p w:rsidR="00881704" w:rsidRDefault="000122B3" w:rsidP="000122B3">
      <w:pPr>
        <w:jc w:val="both"/>
      </w:pPr>
      <w:r>
        <w:t xml:space="preserve">Le travail mené en ETLV au Lycée Cabanis s’inspire amplement du </w:t>
      </w:r>
      <w:r w:rsidRPr="00881704">
        <w:rPr>
          <w:b/>
        </w:rPr>
        <w:t>« </w:t>
      </w:r>
      <w:proofErr w:type="spellStart"/>
      <w:r w:rsidRPr="00881704">
        <w:rPr>
          <w:b/>
        </w:rPr>
        <w:t>Flipped</w:t>
      </w:r>
      <w:proofErr w:type="spellEnd"/>
      <w:r w:rsidRPr="00881704">
        <w:rPr>
          <w:b/>
        </w:rPr>
        <w:t xml:space="preserve"> </w:t>
      </w:r>
      <w:proofErr w:type="spellStart"/>
      <w:r w:rsidRPr="00881704">
        <w:rPr>
          <w:b/>
        </w:rPr>
        <w:t>classroom</w:t>
      </w:r>
      <w:proofErr w:type="spellEnd"/>
      <w:r w:rsidRPr="00881704">
        <w:rPr>
          <w:b/>
        </w:rPr>
        <w:t> »,</w:t>
      </w:r>
      <w:r>
        <w:t xml:space="preserve"> selon lequel les élèves préparent en amont les documents à la maison et partagent en classe leurs trouvailles et interrogations afin de créer une véritable interaction authentique. Ainsi, la participation orale est favorisée puisque les élèves négocient leur compréhension des documents fournis en anglais, tout en cherchant à répondre à une problématique proposée en début d’heure. </w:t>
      </w:r>
    </w:p>
    <w:p w:rsidR="00881704" w:rsidRDefault="000122B3" w:rsidP="000122B3">
      <w:pPr>
        <w:jc w:val="both"/>
      </w:pPr>
      <w:r>
        <w:t>Ce système a été affiné cette année grâce à une disposition</w:t>
      </w:r>
      <w:r w:rsidR="00881704">
        <w:t xml:space="preserve"> physique des tables</w:t>
      </w:r>
      <w:r>
        <w:t xml:space="preserve"> en </w:t>
      </w:r>
      <w:r w:rsidRPr="00881704">
        <w:rPr>
          <w:b/>
        </w:rPr>
        <w:t>« </w:t>
      </w:r>
      <w:proofErr w:type="spellStart"/>
      <w:r w:rsidRPr="00881704">
        <w:rPr>
          <w:b/>
        </w:rPr>
        <w:t>Work</w:t>
      </w:r>
      <w:proofErr w:type="spellEnd"/>
      <w:r w:rsidRPr="00881704">
        <w:rPr>
          <w:b/>
        </w:rPr>
        <w:t xml:space="preserve"> stations »</w:t>
      </w:r>
      <w:r>
        <w:t xml:space="preserve"> </w:t>
      </w:r>
      <w:proofErr w:type="spellStart"/>
      <w:r>
        <w:t>cf</w:t>
      </w:r>
      <w:proofErr w:type="spellEnd"/>
      <w:r>
        <w:t xml:space="preserve"> </w:t>
      </w:r>
      <w:r w:rsidRPr="00881704">
        <w:rPr>
          <w:b/>
        </w:rPr>
        <w:t>« Works Stations 1 et 2 »</w:t>
      </w:r>
      <w:r>
        <w:t xml:space="preserve"> inspirée elle aussi des </w:t>
      </w:r>
      <w:r w:rsidRPr="00881704">
        <w:rPr>
          <w:b/>
        </w:rPr>
        <w:t>« Îlots bonifiés»</w:t>
      </w:r>
      <w:r>
        <w:t xml:space="preserve"> de Marie Rivoire. Les élèves sont en effet en </w:t>
      </w:r>
      <w:r w:rsidRPr="00881704">
        <w:rPr>
          <w:b/>
        </w:rPr>
        <w:t xml:space="preserve">« stations » </w:t>
      </w:r>
      <w:r w:rsidR="00881704" w:rsidRPr="00881704">
        <w:rPr>
          <w:b/>
        </w:rPr>
        <w:t>en épis</w:t>
      </w:r>
      <w:r w:rsidR="00881704">
        <w:t xml:space="preserve"> </w:t>
      </w:r>
      <w:r>
        <w:t xml:space="preserve">et sont valorisés chaque fois que le travail de tous a été mené en amont. Les interventions de chacun sont bonifiées individuellement tandis que le groupe est lui-même valorisé dès que tous les membres du « station » ont participé. </w:t>
      </w:r>
    </w:p>
    <w:p w:rsidR="00B22831" w:rsidRDefault="000122B3" w:rsidP="000122B3">
      <w:pPr>
        <w:jc w:val="both"/>
      </w:pPr>
      <w:r>
        <w:t>Ainsi, la prise de parole est induite à la fois par le travail à la maison</w:t>
      </w:r>
      <w:r w:rsidR="00881704">
        <w:t xml:space="preserve"> en amont et les bonifications systématiques en classe.</w:t>
      </w:r>
    </w:p>
    <w:p w:rsidR="00881704" w:rsidRDefault="00881704" w:rsidP="000122B3">
      <w:pPr>
        <w:jc w:val="both"/>
      </w:pPr>
      <w:r>
        <w:t>Sur les documents supports, une grille de stratégies a été distribuée aux élèves cf. « </w:t>
      </w:r>
      <w:r w:rsidRPr="00881704">
        <w:rPr>
          <w:b/>
        </w:rPr>
        <w:t xml:space="preserve">Reading Compréhension </w:t>
      </w:r>
      <w:proofErr w:type="spellStart"/>
      <w:r w:rsidRPr="00881704">
        <w:rPr>
          <w:b/>
        </w:rPr>
        <w:t>skills</w:t>
      </w:r>
      <w:proofErr w:type="spellEnd"/>
      <w:r>
        <w:t> » pour les documents écrits et pour les documents audio et/ou vidéo, « </w:t>
      </w:r>
      <w:proofErr w:type="spellStart"/>
      <w:r w:rsidRPr="00881704">
        <w:rPr>
          <w:b/>
        </w:rPr>
        <w:t>Aural</w:t>
      </w:r>
      <w:proofErr w:type="spellEnd"/>
      <w:r w:rsidRPr="00881704">
        <w:rPr>
          <w:b/>
        </w:rPr>
        <w:t xml:space="preserve"> </w:t>
      </w:r>
      <w:proofErr w:type="spellStart"/>
      <w:r w:rsidRPr="00881704">
        <w:rPr>
          <w:b/>
        </w:rPr>
        <w:t>strategies</w:t>
      </w:r>
      <w:proofErr w:type="spellEnd"/>
      <w:r>
        <w:t xml:space="preserve"> ». </w:t>
      </w:r>
      <w:r w:rsidR="007126DE">
        <w:t xml:space="preserve">Sur le cahier au crayon à papier, les élèves notent le produit de leur compréhension orale toujours fondée sur la réponse aux 6 questions fondamentales </w:t>
      </w:r>
      <w:r w:rsidR="007126DE" w:rsidRPr="00142065">
        <w:rPr>
          <w:b/>
        </w:rPr>
        <w:t>« </w:t>
      </w:r>
      <w:proofErr w:type="spellStart"/>
      <w:r w:rsidR="007126DE" w:rsidRPr="00142065">
        <w:rPr>
          <w:b/>
        </w:rPr>
        <w:t>What</w:t>
      </w:r>
      <w:proofErr w:type="spellEnd"/>
      <w:r w:rsidR="007126DE" w:rsidRPr="00142065">
        <w:rPr>
          <w:b/>
        </w:rPr>
        <w:t xml:space="preserve"> type ? </w:t>
      </w:r>
      <w:proofErr w:type="spellStart"/>
      <w:r w:rsidR="007126DE" w:rsidRPr="00142065">
        <w:rPr>
          <w:b/>
        </w:rPr>
        <w:t>What</w:t>
      </w:r>
      <w:proofErr w:type="spellEnd"/>
      <w:r w:rsidR="007126DE" w:rsidRPr="00142065">
        <w:rPr>
          <w:b/>
        </w:rPr>
        <w:t xml:space="preserve"> for ? </w:t>
      </w:r>
      <w:proofErr w:type="spellStart"/>
      <w:r w:rsidR="007126DE" w:rsidRPr="00142065">
        <w:rPr>
          <w:b/>
        </w:rPr>
        <w:t>Who</w:t>
      </w:r>
      <w:proofErr w:type="spellEnd"/>
      <w:r w:rsidR="007126DE" w:rsidRPr="00142065">
        <w:rPr>
          <w:b/>
        </w:rPr>
        <w:t xml:space="preserve"> </w:t>
      </w:r>
      <w:proofErr w:type="spellStart"/>
      <w:r w:rsidR="007126DE" w:rsidRPr="00142065">
        <w:rPr>
          <w:b/>
        </w:rPr>
        <w:t>speaks</w:t>
      </w:r>
      <w:proofErr w:type="spellEnd"/>
      <w:r w:rsidR="007126DE" w:rsidRPr="00142065">
        <w:rPr>
          <w:b/>
        </w:rPr>
        <w:t xml:space="preserve"> ? To </w:t>
      </w:r>
      <w:proofErr w:type="spellStart"/>
      <w:r w:rsidR="007126DE" w:rsidRPr="00142065">
        <w:rPr>
          <w:b/>
        </w:rPr>
        <w:t>whom</w:t>
      </w:r>
      <w:proofErr w:type="spellEnd"/>
      <w:r w:rsidR="007126DE" w:rsidRPr="00142065">
        <w:rPr>
          <w:b/>
        </w:rPr>
        <w:t xml:space="preserve"> ? </w:t>
      </w:r>
      <w:proofErr w:type="spellStart"/>
      <w:r w:rsidR="007126DE" w:rsidRPr="00142065">
        <w:rPr>
          <w:b/>
        </w:rPr>
        <w:t>What</w:t>
      </w:r>
      <w:proofErr w:type="spellEnd"/>
      <w:r w:rsidR="007126DE" w:rsidRPr="00142065">
        <w:rPr>
          <w:b/>
        </w:rPr>
        <w:t xml:space="preserve"> about ? How</w:t>
      </w:r>
      <w:r w:rsidR="00142065">
        <w:rPr>
          <w:b/>
        </w:rPr>
        <w:t> ?</w:t>
      </w:r>
      <w:r w:rsidR="007126DE" w:rsidRPr="00142065">
        <w:rPr>
          <w:b/>
        </w:rPr>
        <w:t> »</w:t>
      </w:r>
      <w:r w:rsidR="007126DE">
        <w:t xml:space="preserve"> et en plus de ces faits essentiels, surlignent les éléments pertinents dans les documents écrits. Ils savent que le « warm-up » de début d’heure consistera à évoquer ces questions-là en vue de problématiser le document ; ainsi la participation </w:t>
      </w:r>
      <w:r w:rsidR="00142065">
        <w:t>est</w:t>
      </w:r>
      <w:r w:rsidR="007126DE">
        <w:t xml:space="preserve"> routinière dans la phase de reprise puis s</w:t>
      </w:r>
      <w:r w:rsidR="00142065">
        <w:t xml:space="preserve">’étoffe </w:t>
      </w:r>
      <w:r w:rsidR="007126DE">
        <w:t>au fur et à mesure que les détails émergent et que l</w:t>
      </w:r>
      <w:r w:rsidR="00142065">
        <w:t xml:space="preserve">’analyse critique </w:t>
      </w:r>
      <w:r w:rsidR="007126DE">
        <w:t xml:space="preserve">sous forme de patates de sens en premier temps puis d’une </w:t>
      </w:r>
      <w:r w:rsidR="00142065">
        <w:t>formulation plus complexe est construite par les élèves.</w:t>
      </w:r>
    </w:p>
    <w:p w:rsidR="00FF3CEE" w:rsidRDefault="00FF3CEE" w:rsidP="000122B3">
      <w:pPr>
        <w:jc w:val="both"/>
      </w:pPr>
      <w:r>
        <w:t xml:space="preserve">Chaque détail technique est traité par </w:t>
      </w:r>
      <w:r w:rsidRPr="00FF3CEE">
        <w:rPr>
          <w:b/>
        </w:rPr>
        <w:t xml:space="preserve">le collègue de STI  </w:t>
      </w:r>
      <w:r>
        <w:t xml:space="preserve">qui cherche à faire </w:t>
      </w:r>
      <w:r w:rsidR="00F60A69">
        <w:t>émerger</w:t>
      </w:r>
      <w:r>
        <w:t xml:space="preserve"> la cohérence du principe technique tandis que la collègue d’anglais s’assure de la correction linguistique en soulevant naïvement de vraies questions techniques </w:t>
      </w:r>
      <w:r w:rsidR="00F60A69">
        <w:t>résultant de</w:t>
      </w:r>
      <w:r>
        <w:t xml:space="preserve"> formulations erronées </w:t>
      </w:r>
      <w:r w:rsidR="00F60A69">
        <w:t xml:space="preserve">des élèves </w:t>
      </w:r>
      <w:r>
        <w:t xml:space="preserve">! </w:t>
      </w:r>
      <w:bookmarkStart w:id="0" w:name="_GoBack"/>
      <w:bookmarkEnd w:id="0"/>
    </w:p>
    <w:sectPr w:rsidR="00FF3CEE" w:rsidSect="005622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5180"/>
    <w:rsid w:val="000122B3"/>
    <w:rsid w:val="00142065"/>
    <w:rsid w:val="00335180"/>
    <w:rsid w:val="005622FF"/>
    <w:rsid w:val="007126DE"/>
    <w:rsid w:val="00881704"/>
    <w:rsid w:val="00B22831"/>
    <w:rsid w:val="00F60A69"/>
    <w:rsid w:val="00FF3CE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Theme="minorHAnsi" w:hAnsi="Candara"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2F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122B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22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122B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22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356</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Marc</cp:lastModifiedBy>
  <cp:revision>8</cp:revision>
  <dcterms:created xsi:type="dcterms:W3CDTF">2015-01-25T09:38:00Z</dcterms:created>
  <dcterms:modified xsi:type="dcterms:W3CDTF">2015-01-26T14:52:00Z</dcterms:modified>
</cp:coreProperties>
</file>