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3B2" w:rsidRDefault="000F33B2"/>
    <w:p w:rsidR="000F33B2" w:rsidRDefault="000F33B2"/>
    <w:p w:rsidR="00E00BA1" w:rsidRDefault="00B71BB1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8.9pt;margin-top:-38.65pt;width:487.25pt;height:36.8pt;z-index:251658240">
            <v:textbox>
              <w:txbxContent>
                <w:p w:rsidR="00E00BA1" w:rsidRPr="0076405A" w:rsidRDefault="00E00BA1" w:rsidP="00E00BA1">
                  <w:pPr>
                    <w:jc w:val="center"/>
                    <w:rPr>
                      <w:sz w:val="44"/>
                    </w:rPr>
                  </w:pPr>
                  <w:r w:rsidRPr="0076405A">
                    <w:rPr>
                      <w:sz w:val="44"/>
                    </w:rPr>
                    <w:t>ELINGAGE Formation élémentaire</w:t>
                  </w:r>
                </w:p>
              </w:txbxContent>
            </v:textbox>
          </v:shape>
        </w:pict>
      </w:r>
    </w:p>
    <w:p w:rsidR="00AF0C7C" w:rsidRDefault="00AF0C7C" w:rsidP="00AF0C7C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469265</wp:posOffset>
            </wp:positionV>
            <wp:extent cx="1941830" cy="887095"/>
            <wp:effectExtent l="19050" t="0" r="1270" b="0"/>
            <wp:wrapNone/>
            <wp:docPr id="7" name="Image 6" descr="logo IN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logo INR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88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Ce document représente un extrait de « le mémento de l’élingueur », INRS (</w:t>
      </w:r>
      <w:r w:rsidRPr="00AF0C7C">
        <w:t>Institut Natio</w:t>
      </w:r>
      <w:r>
        <w:t>nal de Recherche et de sécurité). La totalité du document est disponible sur le site :</w:t>
      </w:r>
      <w:r w:rsidRPr="00AF0C7C">
        <w:t xml:space="preserve"> </w:t>
      </w:r>
      <w:hyperlink r:id="rId9" w:history="1">
        <w:r>
          <w:rPr>
            <w:rStyle w:val="Lienhypertexte"/>
          </w:rPr>
          <w:t>http://www.inrs.fr</w:t>
        </w:r>
      </w:hyperlink>
    </w:p>
    <w:p w:rsidR="00AF0C7C" w:rsidRDefault="00AF0C7C" w:rsidP="00AF0C7C"/>
    <w:p w:rsidR="00AF0C7C" w:rsidRDefault="00AF0C7C" w:rsidP="00AF0C7C"/>
    <w:p w:rsidR="00AF0C7C" w:rsidRDefault="00AF0C7C" w:rsidP="00AF0C7C"/>
    <w:p w:rsidR="00AF0C7C" w:rsidRPr="00AF0C7C" w:rsidRDefault="00AF0C7C" w:rsidP="00AF0C7C">
      <w:pPr>
        <w:rPr>
          <w:sz w:val="32"/>
        </w:rPr>
      </w:pPr>
    </w:p>
    <w:p w:rsidR="00DB0405" w:rsidRPr="0076405A" w:rsidRDefault="00C049A9" w:rsidP="0076405A">
      <w:pPr>
        <w:numPr>
          <w:ilvl w:val="0"/>
          <w:numId w:val="1"/>
        </w:numPr>
        <w:jc w:val="center"/>
        <w:rPr>
          <w:sz w:val="40"/>
        </w:rPr>
      </w:pPr>
      <w:r w:rsidRPr="0076405A">
        <w:rPr>
          <w:sz w:val="40"/>
        </w:rPr>
        <w:t>Les causes d’accident</w:t>
      </w:r>
    </w:p>
    <w:p w:rsidR="00DB0405" w:rsidRPr="0076405A" w:rsidRDefault="00C049A9" w:rsidP="0076405A">
      <w:pPr>
        <w:numPr>
          <w:ilvl w:val="0"/>
          <w:numId w:val="1"/>
        </w:numPr>
        <w:jc w:val="center"/>
        <w:rPr>
          <w:sz w:val="40"/>
        </w:rPr>
      </w:pPr>
      <w:r w:rsidRPr="0076405A">
        <w:rPr>
          <w:sz w:val="40"/>
        </w:rPr>
        <w:t>La règlementation</w:t>
      </w:r>
    </w:p>
    <w:p w:rsidR="00DB0405" w:rsidRPr="0076405A" w:rsidRDefault="00C049A9" w:rsidP="0076405A">
      <w:pPr>
        <w:numPr>
          <w:ilvl w:val="0"/>
          <w:numId w:val="1"/>
        </w:numPr>
        <w:jc w:val="center"/>
        <w:rPr>
          <w:sz w:val="40"/>
        </w:rPr>
      </w:pPr>
      <w:r w:rsidRPr="0076405A">
        <w:rPr>
          <w:sz w:val="40"/>
        </w:rPr>
        <w:t>8 règles pour élinguer en sécurité</w:t>
      </w:r>
    </w:p>
    <w:p w:rsidR="0076405A" w:rsidRDefault="0076405A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879816</wp:posOffset>
            </wp:positionH>
            <wp:positionV relativeFrom="paragraph">
              <wp:posOffset>329337</wp:posOffset>
            </wp:positionV>
            <wp:extent cx="4007040" cy="4558353"/>
            <wp:effectExtent l="19050" t="0" r="0" b="0"/>
            <wp:wrapNone/>
            <wp:docPr id="9" name="Image 7" descr="AA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A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040" cy="4558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D2AA2" w:rsidRDefault="0076405A" w:rsidP="003D2AA2">
      <w:pPr>
        <w:pStyle w:val="Paragraphedeliste"/>
        <w:numPr>
          <w:ilvl w:val="0"/>
          <w:numId w:val="5"/>
        </w:numPr>
        <w:rPr>
          <w:b/>
        </w:rPr>
      </w:pPr>
      <w:r w:rsidRPr="0076405A">
        <w:rPr>
          <w:b/>
          <w:u w:val="single"/>
        </w:rPr>
        <w:lastRenderedPageBreak/>
        <w:t>Quelques chiffres sur les accidents</w:t>
      </w:r>
      <w:r w:rsidRPr="0076405A">
        <w:rPr>
          <w:b/>
        </w:rPr>
        <w:t> :</w:t>
      </w:r>
    </w:p>
    <w:p w:rsidR="003D2AA2" w:rsidRDefault="003D2AA2" w:rsidP="003D2AA2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-607613</wp:posOffset>
            </wp:positionH>
            <wp:positionV relativeFrom="paragraph">
              <wp:posOffset>27049</wp:posOffset>
            </wp:positionV>
            <wp:extent cx="7129896" cy="3253839"/>
            <wp:effectExtent l="19050" t="0" r="0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896" cy="325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0F33B2" w:rsidP="003D2AA2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45530</wp:posOffset>
            </wp:positionH>
            <wp:positionV relativeFrom="paragraph">
              <wp:posOffset>50008</wp:posOffset>
            </wp:positionV>
            <wp:extent cx="5621730" cy="3135085"/>
            <wp:effectExtent l="19050" t="0" r="0" b="0"/>
            <wp:wrapNone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730" cy="313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0F33B2" w:rsidP="003D2AA2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276225</wp:posOffset>
            </wp:positionV>
            <wp:extent cx="5775960" cy="3265170"/>
            <wp:effectExtent l="19050" t="0" r="0" b="0"/>
            <wp:wrapNone/>
            <wp:docPr id="13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0F33B2" w:rsidP="003D2AA2">
      <w:pPr>
        <w:rPr>
          <w:b/>
        </w:rPr>
      </w:pPr>
      <w:r>
        <w:rPr>
          <w:b/>
          <w:noProof/>
          <w:lang w:eastAsia="fr-F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76835</wp:posOffset>
            </wp:positionV>
            <wp:extent cx="5775960" cy="3170555"/>
            <wp:effectExtent l="19050" t="0" r="0" b="0"/>
            <wp:wrapNone/>
            <wp:docPr id="14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rPr>
          <w:b/>
        </w:rPr>
      </w:pPr>
    </w:p>
    <w:p w:rsidR="003D2AA2" w:rsidRDefault="003D2AA2" w:rsidP="003D2AA2">
      <w:pPr>
        <w:pStyle w:val="Paragraphedeliste"/>
        <w:numPr>
          <w:ilvl w:val="0"/>
          <w:numId w:val="5"/>
        </w:numPr>
        <w:rPr>
          <w:b/>
        </w:rPr>
      </w:pPr>
      <w:r w:rsidRPr="003D2AA2">
        <w:rPr>
          <w:b/>
          <w:u w:val="single"/>
        </w:rPr>
        <w:t>La règlementation</w:t>
      </w:r>
      <w:r w:rsidRPr="003D2AA2">
        <w:rPr>
          <w:b/>
        </w:rPr>
        <w:t> :</w:t>
      </w:r>
    </w:p>
    <w:p w:rsidR="003D2AA2" w:rsidRPr="003D2AA2" w:rsidRDefault="003D2AA2" w:rsidP="003D2AA2">
      <w:r w:rsidRPr="003D2AA2">
        <w:t>Article R.233-13-9</w:t>
      </w:r>
    </w:p>
    <w:p w:rsidR="003D2AA2" w:rsidRPr="003D2AA2" w:rsidRDefault="003D2AA2" w:rsidP="003D2AA2">
      <w:r w:rsidRPr="003D2AA2">
        <w:t>Lorsque le travailleur accroche ou décroche une charge à la main, les travaux doivent être organisés de manière telle que ces opérations puissent être effectuées en toute sécurité.</w:t>
      </w:r>
    </w:p>
    <w:p w:rsidR="003D2AA2" w:rsidRPr="000F33B2" w:rsidRDefault="003D2AA2" w:rsidP="003D2AA2">
      <w:pPr>
        <w:rPr>
          <w:color w:val="FF0000"/>
        </w:rPr>
      </w:pPr>
      <w:r w:rsidRPr="000F33B2">
        <w:rPr>
          <w:color w:val="FF0000"/>
        </w:rPr>
        <w:t>Pendant ces opérations</w:t>
      </w:r>
      <w:r w:rsidRPr="000F33B2">
        <w:rPr>
          <w:bCs/>
          <w:color w:val="FF0000"/>
        </w:rPr>
        <w:t xml:space="preserve">, aucune manœuvre </w:t>
      </w:r>
      <w:r w:rsidRPr="000F33B2">
        <w:rPr>
          <w:color w:val="FF0000"/>
        </w:rPr>
        <w:t xml:space="preserve">de l'appareil de levage ne doit être réalisée tant que ce travailleur </w:t>
      </w:r>
      <w:r w:rsidRPr="000F33B2">
        <w:rPr>
          <w:bCs/>
          <w:color w:val="FF0000"/>
        </w:rPr>
        <w:t>n'a pas donné son accord</w:t>
      </w:r>
      <w:r w:rsidRPr="000F33B2">
        <w:rPr>
          <w:color w:val="FF0000"/>
        </w:rPr>
        <w:t xml:space="preserve">. </w:t>
      </w:r>
    </w:p>
    <w:p w:rsidR="003D2AA2" w:rsidRPr="003D2AA2" w:rsidRDefault="003D2AA2" w:rsidP="003D2AA2"/>
    <w:p w:rsidR="003D2AA2" w:rsidRPr="003D2AA2" w:rsidRDefault="003D2AA2" w:rsidP="003D2AA2">
      <w:pPr>
        <w:pStyle w:val="Paragraphedeliste"/>
        <w:ind w:left="0"/>
      </w:pPr>
      <w:r w:rsidRPr="003D2AA2">
        <w:t>Article R.233-13-14</w:t>
      </w:r>
    </w:p>
    <w:p w:rsidR="003D2AA2" w:rsidRPr="003D2AA2" w:rsidRDefault="003D2AA2" w:rsidP="003D2AA2">
      <w:pPr>
        <w:pStyle w:val="Paragraphedeliste"/>
        <w:ind w:left="0"/>
      </w:pPr>
      <w:r w:rsidRPr="003D2AA2">
        <w:t>Les accessoires de levage (…) doivent être choisis et utilisés en fonction :</w:t>
      </w:r>
    </w:p>
    <w:p w:rsidR="003D2AA2" w:rsidRPr="000F33B2" w:rsidRDefault="003D2AA2" w:rsidP="003D2AA2">
      <w:pPr>
        <w:pStyle w:val="Paragraphedeliste"/>
        <w:numPr>
          <w:ilvl w:val="0"/>
          <w:numId w:val="3"/>
        </w:numPr>
        <w:ind w:left="0"/>
        <w:rPr>
          <w:color w:val="FF0000"/>
        </w:rPr>
      </w:pPr>
      <w:r w:rsidRPr="000F33B2">
        <w:rPr>
          <w:color w:val="FF0000"/>
        </w:rPr>
        <w:t>des charges à manutentionner.</w:t>
      </w:r>
    </w:p>
    <w:p w:rsidR="003D2AA2" w:rsidRPr="000F33B2" w:rsidRDefault="003D2AA2" w:rsidP="003D2AA2">
      <w:pPr>
        <w:pStyle w:val="Paragraphedeliste"/>
        <w:numPr>
          <w:ilvl w:val="0"/>
          <w:numId w:val="3"/>
        </w:numPr>
        <w:ind w:left="0"/>
        <w:rPr>
          <w:color w:val="FF0000"/>
        </w:rPr>
      </w:pPr>
      <w:r w:rsidRPr="000F33B2">
        <w:rPr>
          <w:color w:val="FF0000"/>
        </w:rPr>
        <w:t>des points de préhension.</w:t>
      </w:r>
    </w:p>
    <w:p w:rsidR="003D2AA2" w:rsidRPr="000F33B2" w:rsidRDefault="003D2AA2" w:rsidP="003D2AA2">
      <w:pPr>
        <w:pStyle w:val="Paragraphedeliste"/>
        <w:numPr>
          <w:ilvl w:val="0"/>
          <w:numId w:val="3"/>
        </w:numPr>
        <w:ind w:left="0"/>
        <w:rPr>
          <w:color w:val="FF0000"/>
        </w:rPr>
      </w:pPr>
      <w:r w:rsidRPr="000F33B2">
        <w:rPr>
          <w:color w:val="FF0000"/>
        </w:rPr>
        <w:t>du dispositif d'accrochage.</w:t>
      </w:r>
    </w:p>
    <w:p w:rsidR="003D2AA2" w:rsidRPr="000F33B2" w:rsidRDefault="003D2AA2" w:rsidP="003D2AA2">
      <w:pPr>
        <w:pStyle w:val="Paragraphedeliste"/>
        <w:numPr>
          <w:ilvl w:val="0"/>
          <w:numId w:val="3"/>
        </w:numPr>
        <w:ind w:left="0"/>
        <w:rPr>
          <w:color w:val="FF0000"/>
        </w:rPr>
      </w:pPr>
      <w:r w:rsidRPr="000F33B2">
        <w:rPr>
          <w:color w:val="FF0000"/>
        </w:rPr>
        <w:t>des conditions atmosphériques.</w:t>
      </w:r>
    </w:p>
    <w:p w:rsidR="003D2AA2" w:rsidRDefault="003D2AA2" w:rsidP="003D2AA2">
      <w:pPr>
        <w:pStyle w:val="Paragraphedeliste"/>
        <w:ind w:left="0"/>
      </w:pPr>
      <w:r w:rsidRPr="003D2AA2">
        <w:t xml:space="preserve">(…) </w:t>
      </w:r>
    </w:p>
    <w:p w:rsidR="003D2AA2" w:rsidRDefault="003D2AA2" w:rsidP="003D2AA2">
      <w:pPr>
        <w:pStyle w:val="Paragraphedeliste"/>
        <w:ind w:left="0"/>
      </w:pPr>
    </w:p>
    <w:p w:rsidR="003D2AA2" w:rsidRPr="003D2AA2" w:rsidRDefault="003D2AA2" w:rsidP="003D2AA2">
      <w:pPr>
        <w:pStyle w:val="Paragraphedeliste"/>
        <w:ind w:left="0"/>
      </w:pPr>
      <w:r w:rsidRPr="003D2AA2">
        <w:rPr>
          <w:i/>
          <w:iCs/>
        </w:rPr>
        <w:t>Vérification générale périodique</w:t>
      </w:r>
    </w:p>
    <w:p w:rsidR="00DD2EB5" w:rsidRDefault="003D2AA2" w:rsidP="00DD2EB5">
      <w:pPr>
        <w:pStyle w:val="Paragraphedeliste"/>
        <w:spacing w:before="240"/>
        <w:ind w:left="0"/>
      </w:pPr>
      <w:r w:rsidRPr="003D2AA2">
        <w:t>L’article R. 233-11 prévoit une vérification générale périodique afin que soit décelée en temps utile toute détérioration susceptible de créer des dangers.</w:t>
      </w:r>
    </w:p>
    <w:p w:rsidR="00DD2EB5" w:rsidRPr="003D2AA2" w:rsidRDefault="00DD2EB5" w:rsidP="00DD2EB5">
      <w:pPr>
        <w:pStyle w:val="Paragraphedeliste"/>
        <w:spacing w:before="240"/>
        <w:ind w:left="0"/>
      </w:pPr>
    </w:p>
    <w:p w:rsidR="003D2AA2" w:rsidRPr="003D2AA2" w:rsidRDefault="003D2AA2" w:rsidP="003D2AA2">
      <w:pPr>
        <w:pStyle w:val="Paragraphedeliste"/>
        <w:ind w:left="0"/>
      </w:pPr>
      <w:r w:rsidRPr="003D2AA2">
        <w:t xml:space="preserve">Cette vérification doit être effectuée </w:t>
      </w:r>
      <w:r w:rsidRPr="00DD2EB5">
        <w:rPr>
          <w:bCs/>
          <w:color w:val="FF0000"/>
        </w:rPr>
        <w:t>tous les ans</w:t>
      </w:r>
      <w:r w:rsidRPr="003D2AA2">
        <w:t>. Cette périodicité doit être considérée comme une limite supérieure à ne pas dépasser. Des examens</w:t>
      </w:r>
      <w:r w:rsidR="00DD2EB5">
        <w:t xml:space="preserve"> </w:t>
      </w:r>
      <w:r w:rsidRPr="003D2AA2">
        <w:t>plus fréquents peuvent s’avérer nécessaires en fonction de l’utilisation effective des appareils et de l’agressivité de l’environnement.</w:t>
      </w:r>
    </w:p>
    <w:p w:rsidR="003D2AA2" w:rsidRDefault="003D2AA2" w:rsidP="003D2AA2">
      <w:pPr>
        <w:pStyle w:val="Paragraphedeliste"/>
        <w:ind w:left="0"/>
      </w:pPr>
    </w:p>
    <w:p w:rsidR="003D2AA2" w:rsidRDefault="003D2AA2" w:rsidP="003D2AA2">
      <w:pPr>
        <w:pStyle w:val="Paragraphedeliste"/>
        <w:ind w:left="0"/>
      </w:pPr>
    </w:p>
    <w:p w:rsidR="00DD2EB5" w:rsidRDefault="00DD2EB5" w:rsidP="003D2AA2">
      <w:pPr>
        <w:pStyle w:val="Paragraphedeliste"/>
        <w:ind w:left="0"/>
      </w:pPr>
    </w:p>
    <w:p w:rsidR="000F33B2" w:rsidRPr="003D2AA2" w:rsidRDefault="000F33B2" w:rsidP="003D2AA2">
      <w:pPr>
        <w:pStyle w:val="Paragraphedeliste"/>
        <w:ind w:left="0"/>
      </w:pPr>
    </w:p>
    <w:p w:rsidR="0076405A" w:rsidRPr="003D2AA2" w:rsidRDefault="003D2AA2" w:rsidP="0076405A">
      <w:pPr>
        <w:pStyle w:val="Paragraphedeliste"/>
        <w:numPr>
          <w:ilvl w:val="0"/>
          <w:numId w:val="5"/>
        </w:numPr>
        <w:rPr>
          <w:b/>
        </w:rPr>
      </w:pPr>
      <w:r w:rsidRPr="003D2AA2">
        <w:rPr>
          <w:b/>
          <w:u w:val="single"/>
        </w:rPr>
        <w:t>8 règles pour élinguer en sécurité</w:t>
      </w:r>
      <w:r w:rsidRPr="003D2AA2">
        <w:rPr>
          <w:b/>
        </w:rPr>
        <w:t> :</w:t>
      </w:r>
    </w:p>
    <w:p w:rsidR="003D2AA2" w:rsidRPr="00AB0FDC" w:rsidRDefault="003D2AA2" w:rsidP="003D2AA2">
      <w:r w:rsidRPr="003D2AA2">
        <w:t>Dans l’ordre chronologique de l’activité :</w:t>
      </w:r>
    </w:p>
    <w:p w:rsidR="003D2AA2" w:rsidRDefault="003D2AA2" w:rsidP="003D2AA2">
      <w:pPr>
        <w:pStyle w:val="Paragraphedeliste"/>
        <w:numPr>
          <w:ilvl w:val="0"/>
          <w:numId w:val="9"/>
        </w:numPr>
        <w:rPr>
          <w:b/>
        </w:rPr>
      </w:pPr>
      <w:r w:rsidRPr="003D2AA2">
        <w:rPr>
          <w:b/>
          <w:u w:val="single"/>
        </w:rPr>
        <w:t>Préparer l’</w:t>
      </w:r>
      <w:proofErr w:type="spellStart"/>
      <w:r w:rsidRPr="003D2AA2">
        <w:rPr>
          <w:b/>
          <w:u w:val="single"/>
        </w:rPr>
        <w:t>élingage</w:t>
      </w:r>
      <w:proofErr w:type="spellEnd"/>
      <w:r>
        <w:rPr>
          <w:b/>
        </w:rPr>
        <w:t> :</w:t>
      </w:r>
    </w:p>
    <w:p w:rsidR="00FB194A" w:rsidRPr="00FB194A" w:rsidRDefault="00FB194A" w:rsidP="00FB194A">
      <w:r w:rsidRPr="00FB194A">
        <w:t>La sécurité de l’élingueur est assurée par le respect des règles suivantes:</w:t>
      </w:r>
    </w:p>
    <w:p w:rsidR="00DB0405" w:rsidRPr="00FB194A" w:rsidRDefault="00C049A9" w:rsidP="00FB194A">
      <w:pPr>
        <w:pStyle w:val="Paragraphedeliste"/>
        <w:numPr>
          <w:ilvl w:val="0"/>
          <w:numId w:val="10"/>
        </w:numPr>
      </w:pPr>
      <w:r w:rsidRPr="00FB194A">
        <w:t xml:space="preserve"> </w:t>
      </w:r>
      <w:r w:rsidRPr="002B00F5">
        <w:rPr>
          <w:b/>
          <w:bCs/>
          <w:color w:val="FF0000"/>
        </w:rPr>
        <w:t>Reconnaître le parcours</w:t>
      </w:r>
      <w:r w:rsidRPr="00FB194A">
        <w:rPr>
          <w:bCs/>
        </w:rPr>
        <w:t xml:space="preserve"> </w:t>
      </w:r>
      <w:r w:rsidRPr="00FB194A">
        <w:t>qui sera effectué avec la charge,</w:t>
      </w:r>
    </w:p>
    <w:p w:rsidR="00DB0405" w:rsidRPr="00FB194A" w:rsidRDefault="00C049A9" w:rsidP="00FB194A">
      <w:pPr>
        <w:pStyle w:val="Paragraphedeliste"/>
        <w:numPr>
          <w:ilvl w:val="0"/>
          <w:numId w:val="10"/>
        </w:numPr>
      </w:pPr>
      <w:r w:rsidRPr="002B00F5">
        <w:rPr>
          <w:b/>
          <w:bCs/>
          <w:color w:val="FF0000"/>
        </w:rPr>
        <w:t>Dégager les allées de circulation</w:t>
      </w:r>
      <w:r w:rsidRPr="00FB194A">
        <w:rPr>
          <w:bCs/>
        </w:rPr>
        <w:t xml:space="preserve"> </w:t>
      </w:r>
      <w:r w:rsidRPr="00FB194A">
        <w:t>et le lieu de dépose de la charge,</w:t>
      </w:r>
    </w:p>
    <w:p w:rsidR="00DB0405" w:rsidRPr="00FB194A" w:rsidRDefault="00C049A9" w:rsidP="00FB194A">
      <w:pPr>
        <w:pStyle w:val="Paragraphedeliste"/>
        <w:numPr>
          <w:ilvl w:val="0"/>
          <w:numId w:val="10"/>
        </w:numPr>
      </w:pPr>
      <w:r w:rsidRPr="002B00F5">
        <w:rPr>
          <w:b/>
          <w:bCs/>
          <w:color w:val="FF0000"/>
        </w:rPr>
        <w:t>Ne jamais se trouver sous la charge</w:t>
      </w:r>
      <w:r w:rsidRPr="00FB194A">
        <w:rPr>
          <w:bCs/>
        </w:rPr>
        <w:t xml:space="preserve"> </w:t>
      </w:r>
      <w:r w:rsidRPr="00FB194A">
        <w:t>ni déplacer la charge au-dessus des personnes,</w:t>
      </w:r>
    </w:p>
    <w:p w:rsidR="00FB194A" w:rsidRDefault="00C049A9" w:rsidP="00FB194A">
      <w:pPr>
        <w:pStyle w:val="Paragraphedeliste"/>
        <w:numPr>
          <w:ilvl w:val="0"/>
          <w:numId w:val="10"/>
        </w:numPr>
      </w:pPr>
      <w:r w:rsidRPr="00FB194A">
        <w:t xml:space="preserve">Ne jamais se </w:t>
      </w:r>
      <w:r w:rsidRPr="002B00F5">
        <w:rPr>
          <w:b/>
          <w:color w:val="FF0000"/>
        </w:rPr>
        <w:t xml:space="preserve">trouver </w:t>
      </w:r>
      <w:r w:rsidRPr="002B00F5">
        <w:rPr>
          <w:b/>
          <w:bCs/>
          <w:color w:val="FF0000"/>
        </w:rPr>
        <w:t>entre la charge et un obstacle fixe</w:t>
      </w:r>
      <w:r w:rsidRPr="00FB194A">
        <w:rPr>
          <w:bCs/>
        </w:rPr>
        <w:t xml:space="preserve"> </w:t>
      </w:r>
      <w:r w:rsidRPr="00FB194A">
        <w:t>ou un mur pour éviter l’écrasement en cas de balancement de la charge ou de mauvaise manœuvre.</w:t>
      </w:r>
    </w:p>
    <w:p w:rsidR="00FB194A" w:rsidRPr="00FB194A" w:rsidRDefault="00FB194A" w:rsidP="00FB194A">
      <w:pPr>
        <w:pStyle w:val="Paragraphedeliste"/>
      </w:pPr>
    </w:p>
    <w:p w:rsidR="00FB194A" w:rsidRDefault="00FB194A" w:rsidP="003D2AA2">
      <w:pPr>
        <w:pStyle w:val="Paragraphedeliste"/>
        <w:numPr>
          <w:ilvl w:val="0"/>
          <w:numId w:val="9"/>
        </w:numPr>
        <w:rPr>
          <w:b/>
        </w:rPr>
      </w:pPr>
      <w:r w:rsidRPr="00FB194A">
        <w:rPr>
          <w:b/>
          <w:u w:val="single"/>
        </w:rPr>
        <w:t>Evaluer la charge à lever</w:t>
      </w:r>
      <w:r>
        <w:rPr>
          <w:b/>
        </w:rPr>
        <w:t> :</w:t>
      </w:r>
    </w:p>
    <w:p w:rsidR="00FB194A" w:rsidRPr="00FB194A" w:rsidRDefault="00FB194A" w:rsidP="00FB194A">
      <w:pPr>
        <w:spacing w:after="0"/>
        <w:rPr>
          <w:i/>
        </w:rPr>
      </w:pPr>
      <w:r w:rsidRPr="00FB194A">
        <w:rPr>
          <w:i/>
        </w:rPr>
        <w:t>Masse de la charge</w:t>
      </w:r>
    </w:p>
    <w:p w:rsidR="00FB194A" w:rsidRPr="00FB194A" w:rsidRDefault="00FB194A" w:rsidP="00FB194A">
      <w:pPr>
        <w:spacing w:after="0"/>
      </w:pPr>
      <w:r w:rsidRPr="00FB194A">
        <w:t xml:space="preserve">La </w:t>
      </w:r>
      <w:r w:rsidRPr="002B00F5">
        <w:rPr>
          <w:b/>
          <w:bCs/>
          <w:color w:val="FF0000"/>
        </w:rPr>
        <w:t>documentation technique</w:t>
      </w:r>
      <w:r w:rsidRPr="002B00F5">
        <w:rPr>
          <w:bCs/>
          <w:color w:val="FF0000"/>
        </w:rPr>
        <w:t xml:space="preserve"> </w:t>
      </w:r>
      <w:r w:rsidRPr="002B00F5">
        <w:rPr>
          <w:b/>
          <w:color w:val="FF0000"/>
        </w:rPr>
        <w:t>doit donner la masse du système.</w:t>
      </w:r>
    </w:p>
    <w:p w:rsidR="00FB194A" w:rsidRPr="00FB194A" w:rsidRDefault="00FB194A" w:rsidP="00FB194A">
      <w:pPr>
        <w:spacing w:after="0"/>
      </w:pPr>
      <w:r w:rsidRPr="00FB194A">
        <w:t xml:space="preserve">En l’absence d’information sur la masse de la charge et de la possibilité de peser cette charge, il faut procéder à la comparaison avec d’autres charges dont on connaît la masse, et surestimer la valeur </w:t>
      </w: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3073400</wp:posOffset>
            </wp:positionH>
            <wp:positionV relativeFrom="paragraph">
              <wp:posOffset>766445</wp:posOffset>
            </wp:positionV>
            <wp:extent cx="2593340" cy="2220595"/>
            <wp:effectExtent l="19050" t="0" r="0" b="0"/>
            <wp:wrapSquare wrapText="bothSides"/>
            <wp:docPr id="18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B194A">
        <w:t>approximative.</w:t>
      </w:r>
    </w:p>
    <w:p w:rsidR="00FB194A" w:rsidRDefault="00FB194A" w:rsidP="00FB194A">
      <w:pPr>
        <w:pStyle w:val="Paragraphedeliste"/>
        <w:spacing w:after="0"/>
        <w:ind w:firstLine="708"/>
        <w:rPr>
          <w:b/>
        </w:rPr>
      </w:pPr>
    </w:p>
    <w:p w:rsidR="00FB194A" w:rsidRPr="00DD2EB5" w:rsidRDefault="00FB194A" w:rsidP="00FB194A">
      <w:pPr>
        <w:spacing w:after="0"/>
        <w:rPr>
          <w:i/>
        </w:rPr>
      </w:pPr>
      <w:r w:rsidRPr="00DD2EB5">
        <w:rPr>
          <w:i/>
        </w:rPr>
        <w:t xml:space="preserve">Évaluation du centre de gravité </w:t>
      </w:r>
    </w:p>
    <w:p w:rsidR="00FB194A" w:rsidRDefault="00FB194A" w:rsidP="00FB194A">
      <w:pPr>
        <w:spacing w:after="0"/>
      </w:pPr>
      <w:r w:rsidRPr="00FB194A">
        <w:t>Pour que la charge levée soit</w:t>
      </w:r>
      <w:r>
        <w:t xml:space="preserve"> </w:t>
      </w:r>
      <w:r w:rsidRPr="00FB194A">
        <w:t>stable, il faut que le(s) point(s)</w:t>
      </w:r>
      <w:r>
        <w:t xml:space="preserve"> </w:t>
      </w:r>
      <w:r w:rsidRPr="00FB194A">
        <w:t>d’accrochage de l’élingue sur la</w:t>
      </w:r>
      <w:r>
        <w:t xml:space="preserve"> </w:t>
      </w:r>
      <w:r w:rsidRPr="00FB194A">
        <w:t xml:space="preserve">charge se situe(nt) </w:t>
      </w:r>
      <w:r w:rsidRPr="002B00F5">
        <w:rPr>
          <w:color w:val="FF0000"/>
        </w:rPr>
        <w:t>au-dessus du centre de gravité.</w:t>
      </w:r>
    </w:p>
    <w:p w:rsidR="00FB194A" w:rsidRDefault="00FB194A" w:rsidP="00FB194A">
      <w:pPr>
        <w:spacing w:after="0"/>
      </w:pPr>
    </w:p>
    <w:p w:rsidR="00FB194A" w:rsidRPr="00FB194A" w:rsidRDefault="00FB194A" w:rsidP="00FB194A">
      <w:pPr>
        <w:spacing w:after="0"/>
      </w:pPr>
      <w:r w:rsidRPr="00FB194A">
        <w:t xml:space="preserve">Pour éviter que la charge ne bascule </w:t>
      </w:r>
      <w:r>
        <w:t xml:space="preserve"> </w:t>
      </w:r>
      <w:r w:rsidRPr="00FB194A">
        <w:t xml:space="preserve">en cas d’erreur, Il faudra lever la charge </w:t>
      </w:r>
      <w:r>
        <w:t xml:space="preserve"> </w:t>
      </w:r>
      <w:r w:rsidRPr="00FB194A">
        <w:t>délicatement  au début du levage</w:t>
      </w:r>
      <w:r>
        <w:t>.</w:t>
      </w:r>
    </w:p>
    <w:p w:rsidR="00FB194A" w:rsidRPr="00FB194A" w:rsidRDefault="00FB194A" w:rsidP="00FB194A">
      <w:pPr>
        <w:spacing w:after="0"/>
      </w:pPr>
    </w:p>
    <w:p w:rsidR="00FB194A" w:rsidRPr="00FB194A" w:rsidRDefault="00FB194A" w:rsidP="00FB194A">
      <w:pPr>
        <w:spacing w:after="0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Pr="00FB194A" w:rsidRDefault="00FB194A" w:rsidP="00FB194A">
      <w:pPr>
        <w:pStyle w:val="Paragraphedeliste"/>
        <w:numPr>
          <w:ilvl w:val="0"/>
          <w:numId w:val="9"/>
        </w:numPr>
        <w:rPr>
          <w:b/>
        </w:rPr>
      </w:pPr>
      <w:r>
        <w:rPr>
          <w:b/>
          <w:u w:val="single"/>
        </w:rPr>
        <w:t>Choix de l’élingue</w:t>
      </w:r>
      <w:r>
        <w:rPr>
          <w:b/>
        </w:rPr>
        <w:t> :</w:t>
      </w:r>
    </w:p>
    <w:p w:rsidR="00FB194A" w:rsidRPr="00FB194A" w:rsidRDefault="00FB194A" w:rsidP="00FB194A">
      <w:r w:rsidRPr="00FB194A">
        <w:t>Le choix de la bonne élingue est l’un des points délicats de la préparation d’</w:t>
      </w:r>
      <w:proofErr w:type="spellStart"/>
      <w:r w:rsidRPr="00FB194A">
        <w:t>élingage</w:t>
      </w:r>
      <w:proofErr w:type="spellEnd"/>
      <w:r w:rsidRPr="00FB194A">
        <w:t>. Ce choix est en effet déterminant pour la sécurité des opérateurs.</w:t>
      </w:r>
    </w:p>
    <w:p w:rsidR="00FB194A" w:rsidRPr="00FB194A" w:rsidRDefault="00FB194A" w:rsidP="00FB194A">
      <w:pPr>
        <w:spacing w:after="0"/>
        <w:rPr>
          <w:i/>
        </w:rPr>
      </w:pPr>
      <w:r w:rsidRPr="00FB194A">
        <w:rPr>
          <w:i/>
        </w:rPr>
        <w:t>Choix de la matière</w:t>
      </w:r>
    </w:p>
    <w:p w:rsidR="00FB194A" w:rsidRPr="00FB194A" w:rsidRDefault="00FB194A" w:rsidP="00FB194A">
      <w:pPr>
        <w:spacing w:after="0"/>
      </w:pPr>
      <w:r w:rsidRPr="00FB194A">
        <w:t>Les différentes matières (métal, textile) ont une incidence sur le poids de l’élingue et la flexibilité de celle-ci.</w:t>
      </w:r>
    </w:p>
    <w:p w:rsidR="00FB194A" w:rsidRPr="00FB194A" w:rsidRDefault="00FB194A" w:rsidP="00FB194A">
      <w:r w:rsidRPr="00FB194A">
        <w:t>Il faut également tenir compte de l’atmosphère ambiante, du lieu d’utilisation qui peut conduire à des choix de matières différents.</w:t>
      </w:r>
    </w:p>
    <w:p w:rsidR="00FB194A" w:rsidRPr="002B00F5" w:rsidRDefault="00FB194A" w:rsidP="00FB194A">
      <w:pPr>
        <w:rPr>
          <w:color w:val="FF0000"/>
        </w:rPr>
      </w:pPr>
      <w:r w:rsidRPr="002B00F5">
        <w:rPr>
          <w:color w:val="FF0000"/>
        </w:rPr>
        <w:t xml:space="preserve">D’une manière générale, l’élingue sera choisie pour son côté pratique et sa capacité de charge. </w:t>
      </w:r>
    </w:p>
    <w:p w:rsidR="00FB194A" w:rsidRPr="00FB194A" w:rsidRDefault="00FB194A" w:rsidP="00FB194A">
      <w:pPr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2B00F5" w:rsidRDefault="002B00F5" w:rsidP="00FB194A">
      <w:pPr>
        <w:pStyle w:val="Paragraphedeliste"/>
        <w:rPr>
          <w:b/>
        </w:rPr>
      </w:pPr>
    </w:p>
    <w:p w:rsidR="002B00F5" w:rsidRDefault="002B00F5" w:rsidP="00FB194A">
      <w:pPr>
        <w:pStyle w:val="Paragraphedeliste"/>
        <w:rPr>
          <w:b/>
        </w:rPr>
      </w:pPr>
    </w:p>
    <w:p w:rsidR="002B00F5" w:rsidRDefault="002B00F5" w:rsidP="002B00F5">
      <w:pPr>
        <w:pStyle w:val="Paragraphedeliste"/>
        <w:ind w:left="0"/>
      </w:pPr>
      <w:r w:rsidRPr="002B00F5">
        <w:t xml:space="preserve">Les élingues textiles ont une </w:t>
      </w:r>
      <w:r w:rsidRPr="002B00F5">
        <w:rPr>
          <w:b/>
          <w:color w:val="FF0000"/>
        </w:rPr>
        <w:t>couleur normalisée</w:t>
      </w:r>
      <w:r w:rsidRPr="002B00F5">
        <w:t xml:space="preserve"> qui correspond à la capacité maximale supportée. </w:t>
      </w:r>
    </w:p>
    <w:p w:rsidR="002B00F5" w:rsidRDefault="002B00F5" w:rsidP="002B00F5">
      <w:pPr>
        <w:pStyle w:val="Paragraphedeliste"/>
        <w:ind w:left="0"/>
      </w:pPr>
      <w:r>
        <w:rPr>
          <w:noProof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174625</wp:posOffset>
            </wp:positionV>
            <wp:extent cx="5768340" cy="4333875"/>
            <wp:effectExtent l="19050" t="0" r="3810" b="0"/>
            <wp:wrapNone/>
            <wp:docPr id="19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Default="002B00F5" w:rsidP="002B00F5">
      <w:pPr>
        <w:pStyle w:val="Paragraphedeliste"/>
        <w:ind w:left="0"/>
      </w:pPr>
    </w:p>
    <w:p w:rsidR="002B00F5" w:rsidRPr="002B00F5" w:rsidRDefault="002B00F5" w:rsidP="002B00F5">
      <w:pPr>
        <w:pStyle w:val="Paragraphedeliste"/>
        <w:ind w:left="0"/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2B00F5" w:rsidRDefault="002B00F5" w:rsidP="00FB194A">
      <w:pPr>
        <w:pStyle w:val="Paragraphedeliste"/>
        <w:rPr>
          <w:b/>
        </w:rPr>
      </w:pPr>
    </w:p>
    <w:p w:rsidR="002B00F5" w:rsidRDefault="002B00F5" w:rsidP="00FB194A">
      <w:pPr>
        <w:pStyle w:val="Paragraphedeliste"/>
        <w:rPr>
          <w:b/>
        </w:rPr>
      </w:pPr>
    </w:p>
    <w:p w:rsidR="002B00F5" w:rsidRDefault="002B00F5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2B00F5" w:rsidRDefault="002B00F5" w:rsidP="00FB194A">
      <w:pPr>
        <w:pStyle w:val="Paragraphedeliste"/>
        <w:rPr>
          <w:b/>
        </w:rPr>
      </w:pPr>
    </w:p>
    <w:p w:rsidR="00FB194A" w:rsidRDefault="00FB194A" w:rsidP="003D2AA2">
      <w:pPr>
        <w:pStyle w:val="Paragraphedeliste"/>
        <w:numPr>
          <w:ilvl w:val="0"/>
          <w:numId w:val="9"/>
        </w:numPr>
        <w:rPr>
          <w:b/>
        </w:rPr>
      </w:pPr>
      <w:r>
        <w:rPr>
          <w:b/>
          <w:u w:val="single"/>
        </w:rPr>
        <w:t>Procéder à une inspection visuelle</w:t>
      </w:r>
      <w:r>
        <w:rPr>
          <w:b/>
        </w:rPr>
        <w:t> :</w:t>
      </w:r>
    </w:p>
    <w:p w:rsidR="002B00F5" w:rsidRPr="002B00F5" w:rsidRDefault="002B00F5" w:rsidP="002B00F5">
      <w:pPr>
        <w:spacing w:after="0"/>
        <w:ind w:left="-11"/>
      </w:pPr>
      <w:r w:rsidRPr="002B00F5">
        <w:t>Bien que les accessoires de levage soient soumis à une vérification générale</w:t>
      </w:r>
      <w:r>
        <w:t xml:space="preserve"> </w:t>
      </w:r>
      <w:r w:rsidRPr="002B00F5">
        <w:t>périodique tous les ans, il est nécessaire de procéder à un examen visuel de l’accessoire avant son utilisation.</w:t>
      </w:r>
    </w:p>
    <w:p w:rsidR="002B00F5" w:rsidRPr="002B00F5" w:rsidRDefault="002B00F5" w:rsidP="002B00F5">
      <w:pPr>
        <w:spacing w:after="0"/>
        <w:ind w:left="-11"/>
      </w:pPr>
      <w:r w:rsidRPr="002B00F5">
        <w:t>Cet examen vise à s’assurer que l’accessoire n’a pas été détérioré lors</w:t>
      </w:r>
      <w:r>
        <w:t xml:space="preserve"> </w:t>
      </w:r>
      <w:r w:rsidRPr="002B00F5">
        <w:t>des utilisations précédentes ou lors du stockage et qu’il peut donc être utilisé</w:t>
      </w:r>
      <w:r>
        <w:t xml:space="preserve"> </w:t>
      </w:r>
      <w:r w:rsidRPr="002B00F5">
        <w:t xml:space="preserve">en toute sécurité. </w:t>
      </w:r>
    </w:p>
    <w:p w:rsidR="00FB194A" w:rsidRDefault="000F33B2" w:rsidP="002B00F5">
      <w:pPr>
        <w:pStyle w:val="Paragraphedeliste"/>
        <w:spacing w:after="0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95885</wp:posOffset>
            </wp:positionV>
            <wp:extent cx="4077335" cy="2398395"/>
            <wp:effectExtent l="19050" t="0" r="0" b="0"/>
            <wp:wrapNone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94A" w:rsidRDefault="000F33B2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3940637</wp:posOffset>
            </wp:positionH>
            <wp:positionV relativeFrom="paragraph">
              <wp:posOffset>161413</wp:posOffset>
            </wp:positionV>
            <wp:extent cx="2213511" cy="1745673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511" cy="17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Pr="00FB194A" w:rsidRDefault="000F33B2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3D2AA2">
      <w:pPr>
        <w:pStyle w:val="Paragraphedeliste"/>
        <w:numPr>
          <w:ilvl w:val="0"/>
          <w:numId w:val="9"/>
        </w:numPr>
        <w:rPr>
          <w:b/>
        </w:rPr>
      </w:pPr>
      <w:r w:rsidRPr="00FB194A">
        <w:rPr>
          <w:b/>
          <w:u w:val="single"/>
        </w:rPr>
        <w:t>Accrochage de la charge</w:t>
      </w:r>
      <w:r>
        <w:rPr>
          <w:b/>
        </w:rPr>
        <w:t> :</w:t>
      </w:r>
    </w:p>
    <w:p w:rsidR="000F33B2" w:rsidRPr="000F33B2" w:rsidRDefault="000F33B2" w:rsidP="000F33B2">
      <w:pPr>
        <w:spacing w:after="0"/>
        <w:rPr>
          <w:i/>
        </w:rPr>
      </w:pPr>
      <w:r w:rsidRPr="000F33B2">
        <w:rPr>
          <w:i/>
        </w:rPr>
        <w:t>Mise en place des crochets</w:t>
      </w:r>
    </w:p>
    <w:p w:rsidR="00FB194A" w:rsidRDefault="000F33B2" w:rsidP="000F33B2">
      <w:pPr>
        <w:spacing w:after="0"/>
      </w:pPr>
      <w:r w:rsidRPr="000F33B2">
        <w:t xml:space="preserve">Si la charge possède des points d’accrochage du type </w:t>
      </w:r>
      <w:r w:rsidRPr="000F33B2">
        <w:rPr>
          <w:b/>
          <w:bCs/>
        </w:rPr>
        <w:t>anneau de levage</w:t>
      </w:r>
      <w:r w:rsidRPr="000F33B2">
        <w:rPr>
          <w:bCs/>
          <w:color w:val="FF0000"/>
        </w:rPr>
        <w:t xml:space="preserve"> </w:t>
      </w:r>
      <w:r w:rsidRPr="000F33B2">
        <w:t>ou</w:t>
      </w:r>
      <w:r>
        <w:t xml:space="preserve"> </w:t>
      </w:r>
      <w:r w:rsidRPr="000F33B2">
        <w:t xml:space="preserve">piton à œil, il est </w:t>
      </w:r>
      <w:r>
        <w:t xml:space="preserve"> p</w:t>
      </w:r>
      <w:r w:rsidRPr="000F33B2">
        <w:t>référable d’utiliser des élingues dont l’extrémité inférieure</w:t>
      </w:r>
      <w:r>
        <w:t xml:space="preserve"> </w:t>
      </w:r>
      <w:r w:rsidRPr="000F33B2">
        <w:t xml:space="preserve">se termine par un crochet. À défaut, il est nécessaire d’utiliser une </w:t>
      </w:r>
      <w:r w:rsidRPr="000F33B2">
        <w:rPr>
          <w:b/>
          <w:bCs/>
        </w:rPr>
        <w:t>manille</w:t>
      </w:r>
      <w:r>
        <w:rPr>
          <w:bCs/>
        </w:rPr>
        <w:t xml:space="preserve"> </w:t>
      </w:r>
      <w:r w:rsidRPr="000F33B2">
        <w:t xml:space="preserve">pour faire la jonction entre la boucle d’extrémité de l’élingue et l’anneau. </w:t>
      </w:r>
    </w:p>
    <w:p w:rsidR="000F33B2" w:rsidRDefault="00B71BB1" w:rsidP="000F33B2">
      <w:pPr>
        <w:spacing w:after="0"/>
        <w:rPr>
          <w:b/>
        </w:rPr>
      </w:pPr>
      <w:r w:rsidRPr="00B71BB1">
        <w:rPr>
          <w:noProof/>
          <w:lang w:eastAsia="fr-FR"/>
        </w:rPr>
        <w:pict>
          <v:shape id="_x0000_s1029" type="#_x0000_t202" style="position:absolute;margin-left:260.95pt;margin-top:.65pt;width:137.45pt;height:29pt;z-index:251675648">
            <v:textbox>
              <w:txbxContent>
                <w:p w:rsidR="000F33B2" w:rsidRPr="00DD2EB5" w:rsidRDefault="000F33B2" w:rsidP="000F33B2">
                  <w:pPr>
                    <w:jc w:val="center"/>
                    <w:rPr>
                      <w:color w:val="FF0000"/>
                      <w:sz w:val="32"/>
                    </w:rPr>
                  </w:pPr>
                  <w:r w:rsidRPr="00DD2EB5">
                    <w:rPr>
                      <w:color w:val="FF0000"/>
                      <w:sz w:val="32"/>
                    </w:rPr>
                    <w:t>Manille</w:t>
                  </w:r>
                </w:p>
              </w:txbxContent>
            </v:textbox>
          </v:shape>
        </w:pict>
      </w:r>
      <w:r w:rsidRPr="00B71BB1">
        <w:rPr>
          <w:noProof/>
          <w:lang w:eastAsia="fr-FR"/>
        </w:rPr>
        <w:pict>
          <v:shape id="_x0000_s1028" type="#_x0000_t202" style="position:absolute;margin-left:45.1pt;margin-top:.65pt;width:137.45pt;height:29pt;z-index:251674624">
            <v:textbox>
              <w:txbxContent>
                <w:p w:rsidR="000F33B2" w:rsidRPr="00DD2EB5" w:rsidRDefault="000F33B2" w:rsidP="000F33B2">
                  <w:pPr>
                    <w:jc w:val="center"/>
                    <w:rPr>
                      <w:color w:val="FF0000"/>
                      <w:sz w:val="32"/>
                    </w:rPr>
                  </w:pPr>
                  <w:r w:rsidRPr="00DD2EB5">
                    <w:rPr>
                      <w:color w:val="FF0000"/>
                      <w:sz w:val="32"/>
                    </w:rPr>
                    <w:t>Anneau de levage</w:t>
                  </w:r>
                </w:p>
              </w:txbxContent>
            </v:textbox>
          </v:shape>
        </w:pict>
      </w:r>
    </w:p>
    <w:p w:rsidR="00FB194A" w:rsidRDefault="00AB0FDC" w:rsidP="00FB194A">
      <w:pPr>
        <w:pStyle w:val="Paragraphedeliste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3572502</wp:posOffset>
            </wp:positionH>
            <wp:positionV relativeFrom="paragraph">
              <wp:posOffset>168556</wp:posOffset>
            </wp:positionV>
            <wp:extent cx="1334737" cy="1567543"/>
            <wp:effectExtent l="19050" t="0" r="0" b="0"/>
            <wp:wrapNone/>
            <wp:docPr id="6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37" cy="1567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793750</wp:posOffset>
            </wp:positionH>
            <wp:positionV relativeFrom="paragraph">
              <wp:posOffset>108585</wp:posOffset>
            </wp:positionV>
            <wp:extent cx="1263015" cy="2101850"/>
            <wp:effectExtent l="19050" t="0" r="0" b="0"/>
            <wp:wrapNone/>
            <wp:docPr id="5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AB0FDC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113030</wp:posOffset>
            </wp:positionV>
            <wp:extent cx="3281680" cy="3016250"/>
            <wp:effectExtent l="19050" t="0" r="0" b="0"/>
            <wp:wrapNone/>
            <wp:docPr id="11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301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-49472</wp:posOffset>
            </wp:positionH>
            <wp:positionV relativeFrom="paragraph">
              <wp:posOffset>113393</wp:posOffset>
            </wp:positionV>
            <wp:extent cx="2494708" cy="2992582"/>
            <wp:effectExtent l="19050" t="0" r="842" b="0"/>
            <wp:wrapNone/>
            <wp:docPr id="10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08" cy="299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33B2" w:rsidRDefault="000F33B2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AB0FDC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1244938</wp:posOffset>
            </wp:positionH>
            <wp:positionV relativeFrom="paragraph">
              <wp:posOffset>164020</wp:posOffset>
            </wp:positionV>
            <wp:extent cx="2327564" cy="3087584"/>
            <wp:effectExtent l="19050" t="0" r="0" b="0"/>
            <wp:wrapNone/>
            <wp:docPr id="12" name="Image 8" descr="D:\Manutention\Images\crochet compositi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D:\Manutention\Images\crochet compositi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32" cy="3087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B71BB1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pict>
          <v:shape id="_x0000_s1033" type="#_x0000_t202" style="position:absolute;left:0;text-align:left;margin-left:56.3pt;margin-top:11.35pt;width:101.9pt;height:48.75pt;z-index:251682816" strokecolor="white [3212]">
            <v:textbox>
              <w:txbxContent>
                <w:p w:rsidR="00AB0FDC" w:rsidRPr="00DD2EB5" w:rsidRDefault="00AB0FDC" w:rsidP="00AB0FDC">
                  <w:pPr>
                    <w:rPr>
                      <w:color w:val="FF0000"/>
                      <w:sz w:val="32"/>
                    </w:rPr>
                  </w:pPr>
                  <w:r w:rsidRPr="00DD2EB5">
                    <w:rPr>
                      <w:color w:val="FF0000"/>
                      <w:sz w:val="32"/>
                    </w:rPr>
                    <w:t xml:space="preserve">Linguet de sécurité </w:t>
                  </w:r>
                </w:p>
                <w:p w:rsidR="00AB0FDC" w:rsidRPr="00AB0FDC" w:rsidRDefault="00AB0FDC" w:rsidP="00AB0FDC"/>
              </w:txbxContent>
            </v:textbox>
          </v:shape>
        </w:pict>
      </w:r>
      <w:r>
        <w:rPr>
          <w:b/>
          <w:noProof/>
          <w:lang w:eastAsia="fr-FR"/>
        </w:rPr>
        <w:pict>
          <v:shape id="_x0000_s1030" type="#_x0000_t202" style="position:absolute;left:0;text-align:left;margin-left:251.75pt;margin-top:8.7pt;width:62.65pt;height:29.9pt;z-index:251679744" strokecolor="white [3212]">
            <v:textbox>
              <w:txbxContent>
                <w:p w:rsidR="00AB0FDC" w:rsidRPr="00DD2EB5" w:rsidRDefault="00AB0FDC">
                  <w:pPr>
                    <w:rPr>
                      <w:color w:val="FF0000"/>
                      <w:sz w:val="32"/>
                    </w:rPr>
                  </w:pPr>
                  <w:r w:rsidRPr="00DD2EB5">
                    <w:rPr>
                      <w:color w:val="FF0000"/>
                      <w:sz w:val="32"/>
                    </w:rPr>
                    <w:t>Œil</w:t>
                  </w:r>
                </w:p>
              </w:txbxContent>
            </v:textbox>
          </v:shape>
        </w:pict>
      </w:r>
    </w:p>
    <w:p w:rsidR="000F33B2" w:rsidRDefault="00B71BB1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pict>
          <v:shape id="_x0000_s1031" type="#_x0000_t202" style="position:absolute;left:0;text-align:left;margin-left:251.75pt;margin-top:14.75pt;width:62.65pt;height:29.9pt;z-index:251680768" strokecolor="white [3212]">
            <v:textbox style="mso-next-textbox:#_x0000_s1031">
              <w:txbxContent>
                <w:p w:rsidR="00AB0FDC" w:rsidRPr="00DD2EB5" w:rsidRDefault="00AB0FDC" w:rsidP="00AB0FDC">
                  <w:pPr>
                    <w:rPr>
                      <w:color w:val="FF0000"/>
                      <w:sz w:val="32"/>
                    </w:rPr>
                  </w:pPr>
                  <w:r w:rsidRPr="00DD2EB5">
                    <w:rPr>
                      <w:color w:val="FF0000"/>
                      <w:sz w:val="32"/>
                    </w:rPr>
                    <w:t>Siège</w:t>
                  </w:r>
                </w:p>
              </w:txbxContent>
            </v:textbox>
          </v:shape>
        </w:pict>
      </w:r>
    </w:p>
    <w:p w:rsidR="000F33B2" w:rsidRDefault="00B71BB1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127.4pt;margin-top:14.25pt;width:86pt;height:38.35pt;z-index:251683840" o:connectortype="straight">
            <v:stroke endarrow="block"/>
          </v:shape>
        </w:pict>
      </w:r>
    </w:p>
    <w:p w:rsidR="00AB0FDC" w:rsidRDefault="00B71BB1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pict>
          <v:shape id="_x0000_s1032" type="#_x0000_t202" style="position:absolute;left:0;text-align:left;margin-left:251.75pt;margin-top:13.75pt;width:62.65pt;height:29.9pt;z-index:251681792" strokecolor="white [3212]">
            <v:textbox>
              <w:txbxContent>
                <w:p w:rsidR="00AB0FDC" w:rsidRPr="00DD2EB5" w:rsidRDefault="00AB0FDC" w:rsidP="00AB0FDC">
                  <w:pPr>
                    <w:rPr>
                      <w:color w:val="FF0000"/>
                      <w:sz w:val="32"/>
                    </w:rPr>
                  </w:pPr>
                  <w:r w:rsidRPr="00DD2EB5">
                    <w:rPr>
                      <w:color w:val="FF0000"/>
                      <w:sz w:val="32"/>
                    </w:rPr>
                    <w:t>Bec</w:t>
                  </w:r>
                </w:p>
              </w:txbxContent>
            </v:textbox>
          </v:shape>
        </w:pict>
      </w: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0F33B2" w:rsidRDefault="000F33B2" w:rsidP="00FB194A">
      <w:pPr>
        <w:pStyle w:val="Paragraphedeliste"/>
        <w:rPr>
          <w:b/>
        </w:rPr>
      </w:pPr>
    </w:p>
    <w:p w:rsidR="00FB194A" w:rsidRDefault="00FB194A" w:rsidP="003D2AA2">
      <w:pPr>
        <w:pStyle w:val="Paragraphedeliste"/>
        <w:numPr>
          <w:ilvl w:val="0"/>
          <w:numId w:val="9"/>
        </w:numPr>
        <w:rPr>
          <w:b/>
        </w:rPr>
      </w:pPr>
      <w:r>
        <w:rPr>
          <w:b/>
          <w:u w:val="single"/>
        </w:rPr>
        <w:t>Accrochage de l’élingue sur le crochet de l’appareil de levage</w:t>
      </w:r>
      <w:r>
        <w:rPr>
          <w:b/>
        </w:rPr>
        <w:t> :</w:t>
      </w:r>
    </w:p>
    <w:p w:rsidR="00FB194A" w:rsidRDefault="00FB194A" w:rsidP="00FB194A">
      <w:pPr>
        <w:pStyle w:val="Paragraphedeliste"/>
        <w:rPr>
          <w:b/>
        </w:rPr>
      </w:pPr>
    </w:p>
    <w:p w:rsidR="00FB194A" w:rsidRDefault="00AB0FDC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22860</wp:posOffset>
            </wp:positionV>
            <wp:extent cx="4101465" cy="2303780"/>
            <wp:effectExtent l="19050" t="0" r="0" b="0"/>
            <wp:wrapNone/>
            <wp:docPr id="2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3940175</wp:posOffset>
            </wp:positionH>
            <wp:positionV relativeFrom="paragraph">
              <wp:posOffset>22860</wp:posOffset>
            </wp:positionV>
            <wp:extent cx="2593340" cy="2885440"/>
            <wp:effectExtent l="19050" t="0" r="0" b="0"/>
            <wp:wrapNone/>
            <wp:docPr id="17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163195</wp:posOffset>
            </wp:positionV>
            <wp:extent cx="1322705" cy="4761865"/>
            <wp:effectExtent l="19050" t="0" r="0" b="0"/>
            <wp:wrapNone/>
            <wp:docPr id="2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476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69239D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1196975</wp:posOffset>
            </wp:positionH>
            <wp:positionV relativeFrom="paragraph">
              <wp:posOffset>67310</wp:posOffset>
            </wp:positionV>
            <wp:extent cx="5336540" cy="4251325"/>
            <wp:effectExtent l="19050" t="0" r="0" b="0"/>
            <wp:wrapNone/>
            <wp:docPr id="2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425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AB0FDC" w:rsidRDefault="00AB0FDC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112395</wp:posOffset>
            </wp:positionV>
            <wp:extent cx="3056255" cy="4072890"/>
            <wp:effectExtent l="19050" t="0" r="0" b="0"/>
            <wp:wrapNone/>
            <wp:docPr id="2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407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2848107</wp:posOffset>
            </wp:positionH>
            <wp:positionV relativeFrom="paragraph">
              <wp:posOffset>112759</wp:posOffset>
            </wp:positionV>
            <wp:extent cx="3282290" cy="4073236"/>
            <wp:effectExtent l="19050" t="0" r="0" b="0"/>
            <wp:wrapNone/>
            <wp:docPr id="2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90" cy="407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69239D">
      <w:pPr>
        <w:pStyle w:val="Paragraphedeliste"/>
        <w:tabs>
          <w:tab w:val="left" w:pos="5536"/>
        </w:tabs>
        <w:rPr>
          <w:b/>
        </w:rPr>
      </w:pPr>
      <w:r>
        <w:rPr>
          <w:b/>
        </w:rPr>
        <w:tab/>
      </w: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Pr="0069239D" w:rsidRDefault="0069239D" w:rsidP="0069239D">
      <w:pPr>
        <w:pStyle w:val="Paragraphedeliste"/>
        <w:ind w:left="0"/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126365</wp:posOffset>
            </wp:positionV>
            <wp:extent cx="2187575" cy="4060825"/>
            <wp:effectExtent l="19050" t="0" r="3175" b="0"/>
            <wp:wrapNone/>
            <wp:docPr id="2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575" cy="406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eastAsia="fr-FR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126365</wp:posOffset>
            </wp:positionV>
            <wp:extent cx="3222625" cy="4429125"/>
            <wp:effectExtent l="19050" t="0" r="0" b="0"/>
            <wp:wrapNone/>
            <wp:docPr id="2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239D">
        <w:rPr>
          <w:i/>
        </w:rPr>
        <w:t>Utilisation des manilles</w:t>
      </w:r>
    </w:p>
    <w:p w:rsidR="0069239D" w:rsidRDefault="0069239D" w:rsidP="0069239D">
      <w:pPr>
        <w:pStyle w:val="Paragraphedeliste"/>
        <w:ind w:left="0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FB194A" w:rsidRDefault="00FB194A" w:rsidP="003D2AA2">
      <w:pPr>
        <w:pStyle w:val="Paragraphedeliste"/>
        <w:numPr>
          <w:ilvl w:val="0"/>
          <w:numId w:val="9"/>
        </w:numPr>
        <w:rPr>
          <w:b/>
        </w:rPr>
      </w:pPr>
      <w:r w:rsidRPr="00FB194A">
        <w:rPr>
          <w:b/>
          <w:u w:val="single"/>
        </w:rPr>
        <w:t>Protection des arêtes vives</w:t>
      </w:r>
      <w:r>
        <w:rPr>
          <w:b/>
        </w:rPr>
        <w:t> :</w:t>
      </w:r>
    </w:p>
    <w:p w:rsidR="0069239D" w:rsidRPr="0069239D" w:rsidRDefault="0069239D" w:rsidP="0069239D">
      <w:pPr>
        <w:ind w:left="360"/>
      </w:pPr>
      <w:r w:rsidRPr="0069239D">
        <w:t xml:space="preserve">La charge peut comporter des arêtes vives. Dans ce cas, il faut utiliser des pièces d’angle ou des cornières appropriées </w:t>
      </w:r>
      <w:r w:rsidRPr="0069239D">
        <w:rPr>
          <w:bCs/>
        </w:rPr>
        <w:t xml:space="preserve">pour </w:t>
      </w:r>
      <w:r w:rsidRPr="00DD2EB5">
        <w:rPr>
          <w:bCs/>
          <w:color w:val="FF0000"/>
        </w:rPr>
        <w:t>ne pas endommager l’élingue</w:t>
      </w:r>
      <w:r w:rsidRPr="0069239D">
        <w:rPr>
          <w:bCs/>
        </w:rPr>
        <w:t>.</w:t>
      </w:r>
    </w:p>
    <w:p w:rsidR="00FB194A" w:rsidRDefault="0069239D" w:rsidP="00FB194A">
      <w:pPr>
        <w:pStyle w:val="Paragraphedeliste"/>
      </w:pPr>
      <w:r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-536361</wp:posOffset>
            </wp:positionH>
            <wp:positionV relativeFrom="paragraph">
              <wp:posOffset>30134</wp:posOffset>
            </wp:positionV>
            <wp:extent cx="4006685" cy="3598223"/>
            <wp:effectExtent l="19050" t="0" r="0" b="0"/>
            <wp:wrapNone/>
            <wp:docPr id="2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85" cy="3598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39D" w:rsidRDefault="0069239D" w:rsidP="00FB194A">
      <w:pPr>
        <w:pStyle w:val="Paragraphedeliste"/>
      </w:pPr>
      <w:r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3755332</wp:posOffset>
            </wp:positionH>
            <wp:positionV relativeFrom="paragraph">
              <wp:posOffset>871</wp:posOffset>
            </wp:positionV>
            <wp:extent cx="2712274" cy="3598224"/>
            <wp:effectExtent l="19050" t="0" r="0" b="0"/>
            <wp:wrapNone/>
            <wp:docPr id="28" name="Image 18" descr="D:\Manutention\Images\cables arrêtes vives oui non p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D:\Manutention\Images\cables arrêtes vives oui non p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74" cy="3598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9239D" w:rsidRDefault="0069239D" w:rsidP="00FB194A">
      <w:pPr>
        <w:pStyle w:val="Paragraphedeliste"/>
      </w:pPr>
    </w:p>
    <w:p w:rsidR="0069239D" w:rsidRDefault="0069239D" w:rsidP="00FB194A">
      <w:pPr>
        <w:pStyle w:val="Paragraphedeliste"/>
      </w:pPr>
    </w:p>
    <w:p w:rsidR="0069239D" w:rsidRDefault="0069239D" w:rsidP="00FB194A">
      <w:pPr>
        <w:pStyle w:val="Paragraphedeliste"/>
      </w:pPr>
    </w:p>
    <w:p w:rsidR="0069239D" w:rsidRDefault="0069239D" w:rsidP="00FB194A">
      <w:pPr>
        <w:pStyle w:val="Paragraphedeliste"/>
      </w:pPr>
    </w:p>
    <w:p w:rsidR="0069239D" w:rsidRDefault="0069239D" w:rsidP="00FB194A">
      <w:pPr>
        <w:pStyle w:val="Paragraphedeliste"/>
      </w:pPr>
    </w:p>
    <w:p w:rsidR="0069239D" w:rsidRPr="0069239D" w:rsidRDefault="0069239D" w:rsidP="00FB194A">
      <w:pPr>
        <w:pStyle w:val="Paragraphedeliste"/>
      </w:pPr>
    </w:p>
    <w:p w:rsidR="00FB194A" w:rsidRDefault="00FB194A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69239D" w:rsidRDefault="0069239D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FB194A">
      <w:pPr>
        <w:pStyle w:val="Paragraphedeliste"/>
        <w:rPr>
          <w:b/>
        </w:rPr>
      </w:pPr>
    </w:p>
    <w:p w:rsidR="00FB194A" w:rsidRDefault="00FB194A" w:rsidP="0069239D">
      <w:pPr>
        <w:rPr>
          <w:b/>
        </w:rPr>
      </w:pPr>
    </w:p>
    <w:p w:rsidR="0069239D" w:rsidRDefault="0069239D" w:rsidP="0069239D">
      <w:pPr>
        <w:rPr>
          <w:b/>
        </w:rPr>
      </w:pPr>
    </w:p>
    <w:p w:rsidR="0069239D" w:rsidRPr="0069239D" w:rsidRDefault="0069239D" w:rsidP="0069239D">
      <w:pPr>
        <w:spacing w:after="0"/>
      </w:pPr>
      <w:r w:rsidRPr="0069239D">
        <w:t>Les élingues chaînes doivent également être protégées contre les arêtes</w:t>
      </w:r>
      <w:r>
        <w:t xml:space="preserve"> </w:t>
      </w:r>
      <w:r w:rsidRPr="0069239D">
        <w:t xml:space="preserve">vives ; </w:t>
      </w:r>
      <w:r w:rsidRPr="00C049A9">
        <w:rPr>
          <w:color w:val="FF0000"/>
        </w:rPr>
        <w:t xml:space="preserve">les maillons ne  doivent jamais être sollicités en flexion. </w:t>
      </w:r>
    </w:p>
    <w:p w:rsidR="0069239D" w:rsidRDefault="0069239D" w:rsidP="0069239D">
      <w:pPr>
        <w:spacing w:after="0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4296897</wp:posOffset>
            </wp:positionH>
            <wp:positionV relativeFrom="paragraph">
              <wp:posOffset>62274</wp:posOffset>
            </wp:positionV>
            <wp:extent cx="1274725" cy="1911928"/>
            <wp:effectExtent l="19050" t="0" r="1625" b="0"/>
            <wp:wrapNone/>
            <wp:docPr id="35" name="Image 23" descr="D:\Manutention\Images\chaines protég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D:\Manutention\Images\chaines protég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725" cy="191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1902782</wp:posOffset>
            </wp:positionH>
            <wp:positionV relativeFrom="paragraph">
              <wp:posOffset>73198</wp:posOffset>
            </wp:positionV>
            <wp:extent cx="1928503" cy="1995054"/>
            <wp:effectExtent l="19050" t="0" r="0" b="0"/>
            <wp:wrapNone/>
            <wp:docPr id="3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503" cy="199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fr-F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-346355</wp:posOffset>
            </wp:positionH>
            <wp:positionV relativeFrom="paragraph">
              <wp:posOffset>73198</wp:posOffset>
            </wp:positionV>
            <wp:extent cx="2249137" cy="1900052"/>
            <wp:effectExtent l="19050" t="0" r="0" b="0"/>
            <wp:wrapNone/>
            <wp:docPr id="33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7" cy="190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39D" w:rsidRDefault="0069239D" w:rsidP="0069239D">
      <w:pPr>
        <w:rPr>
          <w:b/>
        </w:rPr>
      </w:pPr>
    </w:p>
    <w:p w:rsidR="0069239D" w:rsidRDefault="0069239D" w:rsidP="0069239D">
      <w:pPr>
        <w:rPr>
          <w:b/>
        </w:rPr>
      </w:pPr>
    </w:p>
    <w:p w:rsidR="0069239D" w:rsidRDefault="0069239D" w:rsidP="0069239D">
      <w:pPr>
        <w:tabs>
          <w:tab w:val="left" w:pos="6826"/>
        </w:tabs>
        <w:rPr>
          <w:b/>
        </w:rPr>
      </w:pPr>
      <w:r>
        <w:rPr>
          <w:b/>
        </w:rPr>
        <w:tab/>
      </w:r>
    </w:p>
    <w:p w:rsidR="0069239D" w:rsidRDefault="0069239D" w:rsidP="0069239D">
      <w:pPr>
        <w:rPr>
          <w:b/>
        </w:rPr>
      </w:pPr>
    </w:p>
    <w:p w:rsidR="0069239D" w:rsidRDefault="0069239D" w:rsidP="0069239D">
      <w:pPr>
        <w:rPr>
          <w:b/>
        </w:rPr>
      </w:pPr>
    </w:p>
    <w:p w:rsidR="0069239D" w:rsidRDefault="0069239D" w:rsidP="0069239D">
      <w:pPr>
        <w:rPr>
          <w:b/>
        </w:rPr>
      </w:pPr>
    </w:p>
    <w:p w:rsidR="00C049A9" w:rsidRPr="0069239D" w:rsidRDefault="00C049A9" w:rsidP="0069239D">
      <w:pPr>
        <w:rPr>
          <w:b/>
        </w:rPr>
      </w:pPr>
    </w:p>
    <w:p w:rsidR="00FB194A" w:rsidRPr="00C049A9" w:rsidRDefault="00FB194A" w:rsidP="003D2AA2">
      <w:pPr>
        <w:pStyle w:val="Paragraphedeliste"/>
        <w:numPr>
          <w:ilvl w:val="0"/>
          <w:numId w:val="9"/>
        </w:numPr>
        <w:rPr>
          <w:b/>
        </w:rPr>
      </w:pPr>
      <w:r>
        <w:rPr>
          <w:b/>
          <w:u w:val="single"/>
        </w:rPr>
        <w:t>Mettre l’élingue sous tension</w:t>
      </w:r>
      <w:r>
        <w:t> :</w:t>
      </w:r>
    </w:p>
    <w:p w:rsidR="00C049A9" w:rsidRPr="00C049A9" w:rsidRDefault="00C049A9" w:rsidP="00C049A9">
      <w:pPr>
        <w:ind w:left="360"/>
      </w:pPr>
      <w:r w:rsidRPr="00C049A9">
        <w:t xml:space="preserve">Lors de la mise sous tension, l’opérateur ne doit pas tenir l’élingue à la main, car ses doigts pourraient être écrasés lors du positionnement des différents composants de l’accessoire </w:t>
      </w:r>
    </w:p>
    <w:p w:rsidR="00C049A9" w:rsidRPr="00C049A9" w:rsidRDefault="00C049A9" w:rsidP="00C049A9">
      <w:pPr>
        <w:ind w:left="360"/>
      </w:pPr>
      <w:r w:rsidRPr="00C049A9">
        <w:t xml:space="preserve">Dans un premier temps, </w:t>
      </w:r>
      <w:r w:rsidRPr="00C049A9">
        <w:rPr>
          <w:color w:val="FF0000"/>
        </w:rPr>
        <w:t>l’élingue est mise progressivement sous tension sans soulever la charge</w:t>
      </w:r>
      <w:r w:rsidRPr="00C049A9">
        <w:t>.</w:t>
      </w:r>
    </w:p>
    <w:sectPr w:rsidR="00C049A9" w:rsidRPr="00C049A9" w:rsidSect="000F33B2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BA1" w:rsidRDefault="00E00BA1" w:rsidP="00E00BA1">
      <w:pPr>
        <w:spacing w:after="0" w:line="240" w:lineRule="auto"/>
      </w:pPr>
      <w:r>
        <w:separator/>
      </w:r>
    </w:p>
  </w:endnote>
  <w:endnote w:type="continuationSeparator" w:id="0">
    <w:p w:rsidR="00E00BA1" w:rsidRDefault="00E00BA1" w:rsidP="00E00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BA1" w:rsidRDefault="00E00BA1" w:rsidP="00E00BA1">
      <w:pPr>
        <w:spacing w:after="0" w:line="240" w:lineRule="auto"/>
      </w:pPr>
      <w:r>
        <w:separator/>
      </w:r>
    </w:p>
  </w:footnote>
  <w:footnote w:type="continuationSeparator" w:id="0">
    <w:p w:rsidR="00E00BA1" w:rsidRDefault="00E00BA1" w:rsidP="00E00B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F29F4"/>
    <w:multiLevelType w:val="hybridMultilevel"/>
    <w:tmpl w:val="83BA0140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B7185"/>
    <w:multiLevelType w:val="hybridMultilevel"/>
    <w:tmpl w:val="8BA6C75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856B0"/>
    <w:multiLevelType w:val="hybridMultilevel"/>
    <w:tmpl w:val="AC744BF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D51DD"/>
    <w:multiLevelType w:val="hybridMultilevel"/>
    <w:tmpl w:val="9C723A5A"/>
    <w:lvl w:ilvl="0" w:tplc="0F4C40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6075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E8889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4EAF2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383D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5E2D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D0C6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2AF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1421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158553CC"/>
    <w:multiLevelType w:val="hybridMultilevel"/>
    <w:tmpl w:val="0B56504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4D1A56"/>
    <w:multiLevelType w:val="hybridMultilevel"/>
    <w:tmpl w:val="38882E9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47756"/>
    <w:multiLevelType w:val="hybridMultilevel"/>
    <w:tmpl w:val="7304EBF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FBEA69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B47A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C6EC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ECB2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8859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4ABE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8298E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6EC4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9205EE7"/>
    <w:multiLevelType w:val="hybridMultilevel"/>
    <w:tmpl w:val="38E075A6"/>
    <w:lvl w:ilvl="0" w:tplc="F08CC1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086F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00552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D4D4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AC70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6E63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12B3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7C59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02E9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532B4C"/>
    <w:multiLevelType w:val="hybridMultilevel"/>
    <w:tmpl w:val="A810F9D2"/>
    <w:lvl w:ilvl="0" w:tplc="84B2497C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DF0BBD"/>
    <w:multiLevelType w:val="hybridMultilevel"/>
    <w:tmpl w:val="FA38C874"/>
    <w:lvl w:ilvl="0" w:tplc="885490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6897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E0EB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05E8B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06D1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76DD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54B9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B0DF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AA27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9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hyphenationZone w:val="425"/>
  <w:characterSpacingControl w:val="doNotCompress"/>
  <w:hdrShapeDefaults>
    <o:shapedefaults v:ext="edit" spidmax="6145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9654B"/>
    <w:rsid w:val="000F33B2"/>
    <w:rsid w:val="002B00F5"/>
    <w:rsid w:val="00335CA7"/>
    <w:rsid w:val="003D2AA2"/>
    <w:rsid w:val="0069239D"/>
    <w:rsid w:val="0076405A"/>
    <w:rsid w:val="0079654B"/>
    <w:rsid w:val="007B1403"/>
    <w:rsid w:val="00AB0FDC"/>
    <w:rsid w:val="00AF0C7C"/>
    <w:rsid w:val="00B01B92"/>
    <w:rsid w:val="00B71BB1"/>
    <w:rsid w:val="00C049A9"/>
    <w:rsid w:val="00DB0405"/>
    <w:rsid w:val="00DD2EB5"/>
    <w:rsid w:val="00E00BA1"/>
    <w:rsid w:val="00FB1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strokecolor="none [3212]"/>
    </o:shapedefaults>
    <o:shapelayout v:ext="edit">
      <o:idmap v:ext="edit" data="1"/>
      <o:rules v:ext="edit">
        <o:r id="V:Rule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1B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00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0BA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00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00BA1"/>
  </w:style>
  <w:style w:type="paragraph" w:styleId="Pieddepage">
    <w:name w:val="footer"/>
    <w:basedOn w:val="Normal"/>
    <w:link w:val="PieddepageCar"/>
    <w:uiPriority w:val="99"/>
    <w:semiHidden/>
    <w:unhideWhenUsed/>
    <w:rsid w:val="00E00B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00BA1"/>
  </w:style>
  <w:style w:type="paragraph" w:styleId="NormalWeb">
    <w:name w:val="Normal (Web)"/>
    <w:basedOn w:val="Normal"/>
    <w:uiPriority w:val="99"/>
    <w:semiHidden/>
    <w:unhideWhenUsed/>
    <w:rsid w:val="00AF0C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AF0C7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76405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4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0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4507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865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0301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654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3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06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49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83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6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2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4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10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2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www.inrs.fr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Technique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CD84D-46F9-40D7-9C31-FDCEBEA7E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768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Benoit</dc:creator>
  <cp:lastModifiedBy>Benoit</cp:lastModifiedBy>
  <cp:revision>5</cp:revision>
  <dcterms:created xsi:type="dcterms:W3CDTF">2011-01-08T18:06:00Z</dcterms:created>
  <dcterms:modified xsi:type="dcterms:W3CDTF">2011-01-08T22:10:00Z</dcterms:modified>
</cp:coreProperties>
</file>