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F6D" w:rsidRDefault="009B108D">
      <w:pPr>
        <w:shd w:val="clear" w:color="auto" w:fill="E7E6E6" w:themeFill="background2"/>
        <w:jc w:val="center"/>
        <w:rPr>
          <w:b/>
          <w:bCs/>
          <w:sz w:val="32"/>
          <w:szCs w:val="32"/>
        </w:rPr>
      </w:pPr>
      <w:r>
        <w:rPr>
          <w:b/>
          <w:bCs/>
          <w:noProof/>
          <w:sz w:val="32"/>
          <w:szCs w:val="32"/>
        </w:rPr>
        <mc:AlternateContent>
          <mc:Choice Requires="wpg">
            <w:drawing>
              <wp:anchor distT="0" distB="0" distL="114300" distR="114300" simplePos="0" relativeHeight="251658240" behindDoc="0" locked="0" layoutInCell="1" allowOverlap="1">
                <wp:simplePos x="0" y="0"/>
                <wp:positionH relativeFrom="column">
                  <wp:posOffset>5332095</wp:posOffset>
                </wp:positionH>
                <wp:positionV relativeFrom="paragraph">
                  <wp:posOffset>0</wp:posOffset>
                </wp:positionV>
                <wp:extent cx="1148442" cy="1148442"/>
                <wp:effectExtent l="0" t="0" r="0" b="0"/>
                <wp:wrapThrough wrapText="bothSides">
                  <wp:wrapPolygon edited="1">
                    <wp:start x="0" y="0"/>
                    <wp:lineTo x="0" y="21146"/>
                    <wp:lineTo x="21146" y="21146"/>
                    <wp:lineTo x="21146" y="0"/>
                    <wp:lineTo x="0" y="0"/>
                  </wp:wrapPolygon>
                </wp:wrapThrough>
                <wp:docPr id="1" name="Image 1" descr="Résultat de recherche d'images pour &quot;académie de ren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cadémie de rennes&quot;"/>
                        <pic:cNvPicPr>
                          <a:picLocks noChangeAspect="1"/>
                        </pic:cNvPicPr>
                      </pic:nvPicPr>
                      <pic:blipFill>
                        <a:blip r:embed="rId7"/>
                        <a:stretch/>
                      </pic:blipFill>
                      <pic:spPr bwMode="auto">
                        <a:xfrm>
                          <a:off x="0" y="0"/>
                          <a:ext cx="1148442" cy="1148442"/>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text;margin-left:419.8pt;mso-position-horizontal:absolute;mso-position-vertical-relative:text;margin-top:0.0pt;mso-position-vertical:absolute;width:90.4pt;height:90.4pt;mso-wrap-distance-left:9.0pt;mso-wrap-distance-top:0.0pt;mso-wrap-distance-right:9.0pt;mso-wrap-distance-bottom:0.0pt;" wrapcoords="0 0 0 97898 97898 97898 97898 0 0 0" stroked="f">
                <v:path textboxrect="0,0,0,0"/>
                <w10:wrap type="through"/>
                <v:imagedata r:id="rId9" o:title=""/>
              </v:shape>
            </w:pict>
          </mc:Fallback>
        </mc:AlternateContent>
      </w:r>
      <w:r>
        <w:rPr>
          <w:b/>
          <w:bCs/>
          <w:sz w:val="32"/>
          <w:szCs w:val="32"/>
        </w:rPr>
        <w:t xml:space="preserve">Support de réalisation de séances </w:t>
      </w:r>
      <w:proofErr w:type="spellStart"/>
      <w:r>
        <w:rPr>
          <w:b/>
          <w:bCs/>
          <w:sz w:val="32"/>
          <w:szCs w:val="32"/>
        </w:rPr>
        <w:t>co</w:t>
      </w:r>
      <w:proofErr w:type="spellEnd"/>
      <w:r>
        <w:rPr>
          <w:b/>
          <w:bCs/>
          <w:sz w:val="32"/>
          <w:szCs w:val="32"/>
        </w:rPr>
        <w:t>-intervention BIM</w:t>
      </w:r>
    </w:p>
    <w:p w:rsidR="00961F6D" w:rsidRDefault="00961F6D">
      <w:pPr>
        <w:rPr>
          <w:b/>
          <w:bCs/>
          <w:sz w:val="28"/>
          <w:szCs w:val="28"/>
          <w:u w:val="single"/>
        </w:rPr>
      </w:pPr>
    </w:p>
    <w:p w:rsidR="00961F6D" w:rsidRDefault="009B108D">
      <w:pPr>
        <w:rPr>
          <w:b/>
          <w:bCs/>
          <w:sz w:val="28"/>
          <w:szCs w:val="28"/>
          <w:u w:val="single"/>
        </w:rPr>
      </w:pPr>
      <w:r>
        <w:rPr>
          <w:b/>
          <w:bCs/>
          <w:sz w:val="28"/>
          <w:szCs w:val="28"/>
          <w:u w:val="single"/>
        </w:rPr>
        <w:t>BIM en Co intervention Maths-Sciences</w:t>
      </w:r>
    </w:p>
    <w:p w:rsidR="00961F6D" w:rsidRDefault="009B108D">
      <w:pPr>
        <w:rPr>
          <w:sz w:val="28"/>
          <w:szCs w:val="28"/>
        </w:rPr>
      </w:pPr>
      <w:r>
        <w:rPr>
          <w:sz w:val="28"/>
          <w:szCs w:val="28"/>
        </w:rPr>
        <w:t>Public visé : CAP 1ère année</w:t>
      </w:r>
    </w:p>
    <w:p w:rsidR="00961F6D" w:rsidRDefault="009B108D">
      <w:pPr>
        <w:rPr>
          <w:sz w:val="28"/>
          <w:szCs w:val="28"/>
        </w:rPr>
      </w:pPr>
      <w:r>
        <w:rPr>
          <w:sz w:val="28"/>
          <w:szCs w:val="28"/>
        </w:rPr>
        <w:t>Discipline professionnelle : PAR</w:t>
      </w:r>
    </w:p>
    <w:p w:rsidR="00961F6D" w:rsidRDefault="009B108D">
      <w:pPr>
        <w:rPr>
          <w:sz w:val="28"/>
          <w:szCs w:val="28"/>
        </w:rPr>
      </w:pPr>
      <w:r>
        <w:rPr>
          <w:sz w:val="28"/>
          <w:szCs w:val="28"/>
        </w:rPr>
        <w:t>Discipline générale : Maths-Sciences</w:t>
      </w:r>
    </w:p>
    <w:tbl>
      <w:tblPr>
        <w:tblStyle w:val="Grilledutableau"/>
        <w:tblW w:w="0" w:type="auto"/>
        <w:tblLook w:val="04A0" w:firstRow="1" w:lastRow="0" w:firstColumn="1" w:lastColumn="0" w:noHBand="0" w:noVBand="1"/>
      </w:tblPr>
      <w:tblGrid>
        <w:gridCol w:w="4531"/>
        <w:gridCol w:w="4531"/>
      </w:tblGrid>
      <w:tr w:rsidR="00961F6D">
        <w:trPr>
          <w:trHeight w:val="286"/>
        </w:trPr>
        <w:tc>
          <w:tcPr>
            <w:tcW w:w="9062" w:type="dxa"/>
            <w:gridSpan w:val="2"/>
            <w:shd w:val="clear" w:color="auto" w:fill="D5DCE4" w:themeFill="text2" w:themeFillTint="33"/>
          </w:tcPr>
          <w:p w:rsidR="00961F6D" w:rsidRDefault="009B108D">
            <w:pPr>
              <w:jc w:val="center"/>
              <w:rPr>
                <w:rFonts w:ascii="Arial" w:hAnsi="Arial" w:cs="Arial"/>
                <w:b/>
                <w:bCs/>
                <w:sz w:val="24"/>
                <w:szCs w:val="24"/>
              </w:rPr>
            </w:pPr>
            <w:bookmarkStart w:id="0" w:name="_Hlk31624050"/>
            <w:r>
              <w:rPr>
                <w:rFonts w:ascii="Arial" w:hAnsi="Arial" w:cs="Arial"/>
                <w:b/>
                <w:bCs/>
                <w:sz w:val="24"/>
                <w:szCs w:val="24"/>
              </w:rPr>
              <w:t xml:space="preserve">Liste de vos besoins interdisciplinaires </w:t>
            </w:r>
          </w:p>
        </w:tc>
      </w:tr>
      <w:bookmarkEnd w:id="0"/>
      <w:tr w:rsidR="00961F6D">
        <w:trPr>
          <w:trHeight w:val="4985"/>
        </w:trPr>
        <w:tc>
          <w:tcPr>
            <w:tcW w:w="9062" w:type="dxa"/>
            <w:gridSpan w:val="2"/>
          </w:tcPr>
          <w:p w:rsidR="00961F6D" w:rsidRDefault="00367E64">
            <w:pPr>
              <w:rPr>
                <w:sz w:val="24"/>
                <w:szCs w:val="24"/>
              </w:rPr>
            </w:pPr>
            <w:r>
              <w:rPr>
                <w:sz w:val="24"/>
                <w:szCs w:val="24"/>
              </w:rPr>
              <w:t xml:space="preserve"> Calcul des aires de surface de formes géométriques</w:t>
            </w:r>
          </w:p>
          <w:p w:rsidR="00367E64" w:rsidRDefault="00367E64">
            <w:pPr>
              <w:rPr>
                <w:sz w:val="24"/>
                <w:szCs w:val="24"/>
              </w:rPr>
            </w:pPr>
            <w:r>
              <w:rPr>
                <w:sz w:val="24"/>
                <w:szCs w:val="24"/>
              </w:rPr>
              <w:t>Connaître les unités de mesures</w:t>
            </w:r>
          </w:p>
          <w:p w:rsidR="00367E64" w:rsidRDefault="00367E64">
            <w:pPr>
              <w:rPr>
                <w:sz w:val="24"/>
                <w:szCs w:val="24"/>
              </w:rPr>
            </w:pPr>
            <w:r>
              <w:rPr>
                <w:sz w:val="24"/>
                <w:szCs w:val="24"/>
              </w:rPr>
              <w:t>Savoir mettre en place un tableau de proportionnalité avec les produits en croix.</w:t>
            </w:r>
          </w:p>
        </w:tc>
      </w:tr>
      <w:tr w:rsidR="00961F6D">
        <w:tc>
          <w:tcPr>
            <w:tcW w:w="4531" w:type="dxa"/>
            <w:shd w:val="clear" w:color="auto" w:fill="A8D08D" w:themeFill="accent6" w:themeFillTint="99"/>
          </w:tcPr>
          <w:p w:rsidR="00961F6D" w:rsidRDefault="009B108D">
            <w:pPr>
              <w:pStyle w:val="Corpsdetexte"/>
              <w:numPr>
                <w:ilvl w:val="0"/>
                <w:numId w:val="1"/>
              </w:numPr>
              <w:spacing w:line="276" w:lineRule="auto"/>
              <w:jc w:val="both"/>
              <w:rPr>
                <w:rFonts w:ascii="Arial" w:hAnsi="Arial"/>
                <w:b/>
                <w:bCs/>
              </w:rPr>
            </w:pPr>
            <w:r>
              <w:rPr>
                <w:rFonts w:ascii="Arial" w:hAnsi="Arial"/>
                <w:b/>
                <w:bCs/>
              </w:rPr>
              <w:t xml:space="preserve">Quelle(s) problématique(s) à résoudre sur votre séance ? </w:t>
            </w:r>
          </w:p>
        </w:tc>
        <w:tc>
          <w:tcPr>
            <w:tcW w:w="4531" w:type="dxa"/>
            <w:shd w:val="clear" w:color="auto" w:fill="F4B083" w:themeFill="accent2" w:themeFillTint="99"/>
          </w:tcPr>
          <w:p w:rsidR="00961F6D" w:rsidRDefault="009B108D">
            <w:pPr>
              <w:pStyle w:val="Corpsdetexte"/>
              <w:numPr>
                <w:ilvl w:val="0"/>
                <w:numId w:val="1"/>
              </w:numPr>
              <w:spacing w:line="276" w:lineRule="auto"/>
              <w:jc w:val="left"/>
              <w:rPr>
                <w:rFonts w:ascii="Arial" w:hAnsi="Arial"/>
                <w:b/>
                <w:bCs/>
              </w:rPr>
            </w:pPr>
            <w:r>
              <w:rPr>
                <w:rFonts w:ascii="Arial" w:hAnsi="Arial"/>
                <w:b/>
                <w:bCs/>
              </w:rPr>
              <w:t xml:space="preserve">Quelle situation professionnelle problématisée de départ pour votre séance ? </w:t>
            </w:r>
          </w:p>
          <w:p w:rsidR="00961F6D" w:rsidRDefault="00961F6D">
            <w:pPr>
              <w:jc w:val="center"/>
              <w:rPr>
                <w:rFonts w:ascii="Arial" w:hAnsi="Arial" w:cs="Arial"/>
                <w:b/>
                <w:bCs/>
                <w:sz w:val="24"/>
                <w:szCs w:val="24"/>
              </w:rPr>
            </w:pPr>
          </w:p>
        </w:tc>
      </w:tr>
      <w:tr w:rsidR="00961F6D">
        <w:trPr>
          <w:trHeight w:val="4409"/>
        </w:trPr>
        <w:tc>
          <w:tcPr>
            <w:tcW w:w="4531" w:type="dxa"/>
          </w:tcPr>
          <w:p w:rsidR="00961F6D" w:rsidRDefault="00961F6D">
            <w:pPr>
              <w:rPr>
                <w:sz w:val="24"/>
                <w:szCs w:val="24"/>
              </w:rPr>
            </w:pPr>
          </w:p>
          <w:p w:rsidR="00961F6D" w:rsidRDefault="009B108D">
            <w:pPr>
              <w:rPr>
                <w:sz w:val="24"/>
                <w:szCs w:val="24"/>
              </w:rPr>
            </w:pPr>
            <w:r>
              <w:rPr>
                <w:sz w:val="24"/>
                <w:szCs w:val="24"/>
              </w:rPr>
              <w:t>Combien de dalles faut-il prévoir pour couvrir le sol d’une chambre, et quelle quantité de colle.</w:t>
            </w:r>
          </w:p>
        </w:tc>
        <w:tc>
          <w:tcPr>
            <w:tcW w:w="4531" w:type="dxa"/>
          </w:tcPr>
          <w:p w:rsidR="00961F6D" w:rsidRDefault="00961F6D">
            <w:pPr>
              <w:rPr>
                <w:sz w:val="24"/>
                <w:szCs w:val="24"/>
              </w:rPr>
            </w:pPr>
          </w:p>
          <w:p w:rsidR="00961F6D" w:rsidRDefault="009B108D">
            <w:pPr>
              <w:rPr>
                <w:sz w:val="24"/>
                <w:szCs w:val="24"/>
              </w:rPr>
            </w:pPr>
            <w:r>
              <w:rPr>
                <w:sz w:val="24"/>
                <w:szCs w:val="24"/>
              </w:rPr>
              <w:t>S.5.3. Quantification et estimation des besoins : nombre de dalles PVC pour le sol d’une chambre.</w:t>
            </w:r>
          </w:p>
        </w:tc>
      </w:tr>
      <w:tr w:rsidR="00961F6D">
        <w:tc>
          <w:tcPr>
            <w:tcW w:w="9062" w:type="dxa"/>
            <w:gridSpan w:val="2"/>
            <w:shd w:val="clear" w:color="auto" w:fill="FFE599" w:themeFill="accent4" w:themeFillTint="66"/>
          </w:tcPr>
          <w:p w:rsidR="00961F6D" w:rsidRDefault="009B108D">
            <w:pPr>
              <w:pStyle w:val="Corpsdetexte"/>
              <w:numPr>
                <w:ilvl w:val="0"/>
                <w:numId w:val="1"/>
              </w:numPr>
              <w:spacing w:line="276" w:lineRule="auto"/>
              <w:jc w:val="both"/>
              <w:rPr>
                <w:sz w:val="20"/>
                <w:szCs w:val="20"/>
              </w:rPr>
            </w:pPr>
            <w:r>
              <w:rPr>
                <w:rFonts w:ascii="Arial" w:hAnsi="Arial"/>
                <w:b/>
                <w:bCs/>
              </w:rPr>
              <w:lastRenderedPageBreak/>
              <w:t>Quels points de programme et quelles compétences à traiter</w:t>
            </w:r>
            <w:r>
              <w:rPr>
                <w:sz w:val="20"/>
                <w:szCs w:val="20"/>
              </w:rPr>
              <w:t xml:space="preserve"> ? </w:t>
            </w:r>
          </w:p>
          <w:p w:rsidR="00961F6D" w:rsidRDefault="00961F6D">
            <w:pPr>
              <w:jc w:val="center"/>
            </w:pPr>
          </w:p>
        </w:tc>
      </w:tr>
      <w:tr w:rsidR="00961F6D">
        <w:trPr>
          <w:trHeight w:val="2115"/>
        </w:trPr>
        <w:tc>
          <w:tcPr>
            <w:tcW w:w="9062" w:type="dxa"/>
            <w:gridSpan w:val="2"/>
          </w:tcPr>
          <w:p w:rsidR="00961F6D" w:rsidRDefault="009B108D">
            <w:r>
              <w:t>Pro :</w:t>
            </w:r>
          </w:p>
          <w:p w:rsidR="00961F6D" w:rsidRDefault="009B108D">
            <w:pPr>
              <w:rPr>
                <w:sz w:val="24"/>
                <w:szCs w:val="24"/>
              </w:rPr>
            </w:pPr>
            <w:r>
              <w:rPr>
                <w:sz w:val="24"/>
                <w:szCs w:val="24"/>
              </w:rPr>
              <w:t>S.5.3. Quantification et estimation des besoins.</w:t>
            </w:r>
          </w:p>
          <w:p w:rsidR="00961F6D" w:rsidRDefault="009B108D">
            <w:r>
              <w:t>C.2.1. Décoder un dossier technique.</w:t>
            </w:r>
          </w:p>
          <w:p w:rsidR="00961F6D" w:rsidRDefault="009B108D">
            <w:r>
              <w:t>Maths :</w:t>
            </w:r>
          </w:p>
          <w:p w:rsidR="00961F6D" w:rsidRDefault="009B108D">
            <w:r>
              <w:t>Calcul d’aires ; calcul de quatrième proportionnelle ; pourcentage.</w:t>
            </w:r>
          </w:p>
          <w:p w:rsidR="00961F6D" w:rsidRDefault="00961F6D"/>
        </w:tc>
      </w:tr>
      <w:tr w:rsidR="00961F6D">
        <w:trPr>
          <w:trHeight w:val="286"/>
        </w:trPr>
        <w:tc>
          <w:tcPr>
            <w:tcW w:w="9062" w:type="dxa"/>
            <w:gridSpan w:val="2"/>
            <w:shd w:val="clear" w:color="auto" w:fill="D5DCE4" w:themeFill="text2" w:themeFillTint="33"/>
          </w:tcPr>
          <w:p w:rsidR="00961F6D" w:rsidRDefault="009B108D">
            <w:pPr>
              <w:pStyle w:val="Corpsdetexte"/>
              <w:numPr>
                <w:ilvl w:val="0"/>
                <w:numId w:val="1"/>
              </w:numPr>
              <w:spacing w:line="276" w:lineRule="auto"/>
              <w:jc w:val="both"/>
              <w:rPr>
                <w:rFonts w:ascii="Arial" w:hAnsi="Arial"/>
                <w:b/>
                <w:bCs/>
              </w:rPr>
            </w:pPr>
            <w:r>
              <w:rPr>
                <w:rFonts w:ascii="Arial" w:hAnsi="Arial"/>
                <w:b/>
                <w:bCs/>
              </w:rPr>
              <w:t>Où situer cette séance dans votre progression ? (Articulations, progressivité,)</w:t>
            </w:r>
          </w:p>
          <w:p w:rsidR="00961F6D" w:rsidRDefault="00961F6D">
            <w:pPr>
              <w:jc w:val="center"/>
              <w:rPr>
                <w:b/>
                <w:bCs/>
              </w:rPr>
            </w:pPr>
          </w:p>
        </w:tc>
      </w:tr>
      <w:tr w:rsidR="00961F6D">
        <w:trPr>
          <w:trHeight w:val="5594"/>
        </w:trPr>
        <w:tc>
          <w:tcPr>
            <w:tcW w:w="9062" w:type="dxa"/>
            <w:gridSpan w:val="2"/>
          </w:tcPr>
          <w:p w:rsidR="00961F6D" w:rsidRDefault="00961F6D">
            <w:pPr>
              <w:rPr>
                <w:rFonts w:ascii="Arial" w:hAnsi="Arial" w:cs="Arial"/>
                <w:b/>
                <w:bCs/>
                <w:sz w:val="24"/>
                <w:szCs w:val="24"/>
              </w:rPr>
            </w:pPr>
          </w:p>
          <w:p w:rsidR="00961F6D" w:rsidRDefault="009B108D">
            <w:pPr>
              <w:rPr>
                <w:rFonts w:ascii="Arial" w:hAnsi="Arial" w:cs="Arial"/>
                <w:sz w:val="24"/>
                <w:szCs w:val="24"/>
              </w:rPr>
            </w:pPr>
            <w:r>
              <w:rPr>
                <w:rFonts w:ascii="Arial" w:hAnsi="Arial" w:cs="Arial"/>
                <w:sz w:val="24"/>
                <w:szCs w:val="24"/>
              </w:rPr>
              <w:t>Peut-être envisagé dès le début de l’année</w:t>
            </w:r>
            <w:r w:rsidR="00367E64">
              <w:rPr>
                <w:rFonts w:ascii="Arial" w:hAnsi="Arial" w:cs="Arial"/>
                <w:sz w:val="24"/>
                <w:szCs w:val="24"/>
              </w:rPr>
              <w:t xml:space="preserve"> scolaire en 1 PAR.</w:t>
            </w:r>
          </w:p>
        </w:tc>
      </w:tr>
      <w:tr w:rsidR="00961F6D">
        <w:trPr>
          <w:trHeight w:val="531"/>
        </w:trPr>
        <w:tc>
          <w:tcPr>
            <w:tcW w:w="9062" w:type="dxa"/>
            <w:gridSpan w:val="2"/>
            <w:shd w:val="clear" w:color="auto" w:fill="FFE599" w:themeFill="accent4" w:themeFillTint="66"/>
          </w:tcPr>
          <w:p w:rsidR="00961F6D" w:rsidRDefault="009B108D">
            <w:pPr>
              <w:pStyle w:val="Corpsdetexte"/>
              <w:numPr>
                <w:ilvl w:val="0"/>
                <w:numId w:val="1"/>
              </w:numPr>
              <w:spacing w:line="276" w:lineRule="auto"/>
              <w:jc w:val="both"/>
              <w:rPr>
                <w:rFonts w:ascii="Arial" w:hAnsi="Arial"/>
                <w:b/>
                <w:bCs/>
              </w:rPr>
            </w:pPr>
            <w:r>
              <w:rPr>
                <w:rFonts w:ascii="Arial" w:hAnsi="Arial"/>
                <w:b/>
                <w:bCs/>
              </w:rPr>
              <w:t>Description du scénario de votre séance</w:t>
            </w:r>
          </w:p>
          <w:p w:rsidR="00961F6D" w:rsidRDefault="00961F6D">
            <w:pPr>
              <w:jc w:val="center"/>
              <w:rPr>
                <w:rFonts w:ascii="Arial" w:hAnsi="Arial" w:cs="Arial"/>
                <w:b/>
                <w:bCs/>
                <w:sz w:val="24"/>
                <w:szCs w:val="24"/>
              </w:rPr>
            </w:pPr>
          </w:p>
        </w:tc>
      </w:tr>
      <w:tr w:rsidR="00961F6D">
        <w:trPr>
          <w:trHeight w:val="4183"/>
        </w:trPr>
        <w:tc>
          <w:tcPr>
            <w:tcW w:w="9062" w:type="dxa"/>
            <w:gridSpan w:val="2"/>
          </w:tcPr>
          <w:p w:rsidR="00961F6D" w:rsidRDefault="00961F6D"/>
          <w:p w:rsidR="00961F6D" w:rsidRDefault="009B108D">
            <w:r>
              <w:t>En salle informatique.</w:t>
            </w:r>
          </w:p>
          <w:p w:rsidR="00961F6D" w:rsidRDefault="009B108D">
            <w:r>
              <w:t>Le document sujet est distribué aux élèves ; ainsi que l’annexe de la fiche technique des dalles et de la colle.</w:t>
            </w:r>
          </w:p>
          <w:p w:rsidR="00961F6D" w:rsidRDefault="009B108D">
            <w:r>
              <w:t>Les élèves seront amenés à :</w:t>
            </w:r>
          </w:p>
          <w:p w:rsidR="00961F6D" w:rsidRDefault="009B108D">
            <w:r>
              <w:t>- relever l’aire de la chambre ; la vérifier par calcul à partir des cotes relevées ;</w:t>
            </w:r>
          </w:p>
          <w:p w:rsidR="00961F6D" w:rsidRDefault="009B108D">
            <w:r>
              <w:t>- qua</w:t>
            </w:r>
            <w:r>
              <w:t>ntifier le nombre de dalles compte-tenu de 10% de perte ;</w:t>
            </w:r>
          </w:p>
          <w:p w:rsidR="00961F6D" w:rsidRDefault="009B108D">
            <w:r>
              <w:t>- quantifier la quantité de colle nécessaire (nombre de pots).</w:t>
            </w:r>
          </w:p>
          <w:p w:rsidR="00961F6D" w:rsidRDefault="00961F6D"/>
        </w:tc>
      </w:tr>
      <w:tr w:rsidR="00961F6D">
        <w:trPr>
          <w:trHeight w:val="567"/>
        </w:trPr>
        <w:tc>
          <w:tcPr>
            <w:tcW w:w="9062" w:type="dxa"/>
            <w:gridSpan w:val="2"/>
            <w:shd w:val="clear" w:color="auto" w:fill="FFC000"/>
          </w:tcPr>
          <w:p w:rsidR="00961F6D" w:rsidRDefault="009B108D">
            <w:pPr>
              <w:jc w:val="center"/>
            </w:pPr>
            <w:r>
              <w:lastRenderedPageBreak/>
              <w:t>-</w:t>
            </w:r>
          </w:p>
        </w:tc>
      </w:tr>
      <w:tr w:rsidR="00961F6D">
        <w:trPr>
          <w:trHeight w:val="6265"/>
        </w:trPr>
        <w:tc>
          <w:tcPr>
            <w:tcW w:w="9062" w:type="dxa"/>
            <w:gridSpan w:val="2"/>
          </w:tcPr>
          <w:p w:rsidR="00961F6D" w:rsidRDefault="00961F6D"/>
        </w:tc>
      </w:tr>
      <w:tr w:rsidR="00961F6D">
        <w:tc>
          <w:tcPr>
            <w:tcW w:w="9062" w:type="dxa"/>
            <w:gridSpan w:val="2"/>
            <w:shd w:val="clear" w:color="auto" w:fill="FFFF00"/>
          </w:tcPr>
          <w:p w:rsidR="00961F6D" w:rsidRDefault="009B108D">
            <w:pPr>
              <w:pStyle w:val="Corpsdetexte"/>
              <w:numPr>
                <w:ilvl w:val="0"/>
                <w:numId w:val="1"/>
              </w:numPr>
              <w:spacing w:line="276" w:lineRule="auto"/>
              <w:jc w:val="both"/>
              <w:rPr>
                <w:rFonts w:ascii="Arial" w:hAnsi="Arial"/>
                <w:b/>
                <w:bCs/>
              </w:rPr>
            </w:pPr>
            <w:r>
              <w:rPr>
                <w:rFonts w:ascii="Arial" w:hAnsi="Arial"/>
                <w:b/>
                <w:bCs/>
              </w:rPr>
              <w:t>Quelle maquette utilisable ? (Existante, à adapter…)</w:t>
            </w:r>
          </w:p>
          <w:p w:rsidR="00961F6D" w:rsidRDefault="00961F6D">
            <w:pPr>
              <w:jc w:val="center"/>
            </w:pPr>
          </w:p>
        </w:tc>
      </w:tr>
      <w:tr w:rsidR="00961F6D">
        <w:trPr>
          <w:trHeight w:val="2082"/>
        </w:trPr>
        <w:tc>
          <w:tcPr>
            <w:tcW w:w="9062" w:type="dxa"/>
            <w:gridSpan w:val="2"/>
          </w:tcPr>
          <w:p w:rsidR="00961F6D" w:rsidRDefault="009B108D">
            <w:r>
              <w:t xml:space="preserve">Maquette </w:t>
            </w:r>
            <w:proofErr w:type="spellStart"/>
            <w:r>
              <w:t>CAP.ifc</w:t>
            </w:r>
            <w:proofErr w:type="spellEnd"/>
          </w:p>
        </w:tc>
      </w:tr>
      <w:tr w:rsidR="00961F6D">
        <w:trPr>
          <w:trHeight w:val="699"/>
        </w:trPr>
        <w:tc>
          <w:tcPr>
            <w:tcW w:w="9062" w:type="dxa"/>
            <w:gridSpan w:val="2"/>
            <w:shd w:val="clear" w:color="auto" w:fill="A8D08D" w:themeFill="accent6" w:themeFillTint="99"/>
          </w:tcPr>
          <w:p w:rsidR="00961F6D" w:rsidRDefault="009B108D">
            <w:pPr>
              <w:pStyle w:val="Corpsdetexte"/>
              <w:numPr>
                <w:ilvl w:val="0"/>
                <w:numId w:val="1"/>
              </w:numPr>
              <w:spacing w:line="276" w:lineRule="auto"/>
              <w:jc w:val="both"/>
              <w:rPr>
                <w:rFonts w:ascii="Arial" w:hAnsi="Arial"/>
                <w:b/>
                <w:bCs/>
              </w:rPr>
            </w:pPr>
            <w:r>
              <w:rPr>
                <w:rFonts w:ascii="Arial" w:hAnsi="Arial"/>
                <w:b/>
                <w:bCs/>
              </w:rPr>
              <w:t xml:space="preserve">Description de la séquence avec les modalités didactiques et pédagogiques </w:t>
            </w:r>
          </w:p>
        </w:tc>
      </w:tr>
      <w:tr w:rsidR="00961F6D">
        <w:trPr>
          <w:trHeight w:val="3622"/>
        </w:trPr>
        <w:tc>
          <w:tcPr>
            <w:tcW w:w="9062" w:type="dxa"/>
            <w:gridSpan w:val="2"/>
          </w:tcPr>
          <w:p w:rsidR="009B108D" w:rsidRDefault="009B108D">
            <w:pPr>
              <w:pStyle w:val="Corpsdetexte"/>
              <w:numPr>
                <w:ilvl w:val="0"/>
                <w:numId w:val="1"/>
              </w:numPr>
              <w:spacing w:line="276" w:lineRule="auto"/>
              <w:jc w:val="both"/>
              <w:rPr>
                <w:rFonts w:ascii="Arial" w:hAnsi="Arial"/>
                <w:b/>
                <w:bCs/>
              </w:rPr>
            </w:pPr>
            <w:r>
              <w:rPr>
                <w:rFonts w:ascii="Arial" w:hAnsi="Arial"/>
                <w:b/>
                <w:bCs/>
              </w:rPr>
              <w:t>Une explication globale du travail à l’oral.</w:t>
            </w:r>
          </w:p>
          <w:p w:rsidR="00961F6D" w:rsidRDefault="009B108D">
            <w:pPr>
              <w:pStyle w:val="Corpsdetexte"/>
              <w:numPr>
                <w:ilvl w:val="0"/>
                <w:numId w:val="1"/>
              </w:numPr>
              <w:spacing w:line="276" w:lineRule="auto"/>
              <w:jc w:val="both"/>
              <w:rPr>
                <w:rFonts w:ascii="Arial" w:hAnsi="Arial"/>
                <w:b/>
                <w:bCs/>
              </w:rPr>
            </w:pPr>
            <w:r>
              <w:rPr>
                <w:rFonts w:ascii="Arial" w:hAnsi="Arial"/>
                <w:b/>
                <w:bCs/>
              </w:rPr>
              <w:t>C</w:t>
            </w:r>
            <w:r w:rsidR="00367E64">
              <w:rPr>
                <w:rFonts w:ascii="Arial" w:hAnsi="Arial"/>
                <w:b/>
                <w:bCs/>
              </w:rPr>
              <w:t>haque élève est en possession d’un ordinateur avec le logiciel BIM ainsi qu’un sujet papier. Chacun doit répondre aux questions en utilisant le plan BIM, le dossier technique et leurs connaissances personnelles.</w:t>
            </w:r>
          </w:p>
          <w:p w:rsidR="00367E64" w:rsidRDefault="00367E64">
            <w:pPr>
              <w:pStyle w:val="Corpsdetexte"/>
              <w:numPr>
                <w:ilvl w:val="0"/>
                <w:numId w:val="1"/>
              </w:numPr>
              <w:spacing w:line="276" w:lineRule="auto"/>
              <w:jc w:val="both"/>
              <w:rPr>
                <w:rFonts w:ascii="Arial" w:hAnsi="Arial"/>
                <w:b/>
                <w:bCs/>
              </w:rPr>
            </w:pPr>
            <w:r>
              <w:rPr>
                <w:rFonts w:ascii="Arial" w:hAnsi="Arial"/>
                <w:b/>
                <w:bCs/>
              </w:rPr>
              <w:t>Ainsi, l’élève travaille sur les calcul</w:t>
            </w:r>
            <w:r w:rsidR="009B108D">
              <w:rPr>
                <w:rFonts w:ascii="Arial" w:hAnsi="Arial"/>
                <w:b/>
                <w:bCs/>
              </w:rPr>
              <w:t>s</w:t>
            </w:r>
            <w:r>
              <w:rPr>
                <w:rFonts w:ascii="Arial" w:hAnsi="Arial"/>
                <w:b/>
                <w:bCs/>
              </w:rPr>
              <w:t xml:space="preserve"> de surface</w:t>
            </w:r>
            <w:r w:rsidR="009B108D">
              <w:rPr>
                <w:rFonts w:ascii="Arial" w:hAnsi="Arial"/>
                <w:b/>
                <w:bCs/>
              </w:rPr>
              <w:t xml:space="preserve"> d’aire</w:t>
            </w:r>
            <w:r>
              <w:rPr>
                <w:rFonts w:ascii="Arial" w:hAnsi="Arial"/>
                <w:b/>
                <w:bCs/>
              </w:rPr>
              <w:t>, les unités de mesures, les proportionnalités, les produits en croix.</w:t>
            </w:r>
          </w:p>
          <w:p w:rsidR="00367E64" w:rsidRDefault="00367E64">
            <w:pPr>
              <w:pStyle w:val="Corpsdetexte"/>
              <w:numPr>
                <w:ilvl w:val="0"/>
                <w:numId w:val="1"/>
              </w:numPr>
              <w:spacing w:line="276" w:lineRule="auto"/>
              <w:jc w:val="both"/>
              <w:rPr>
                <w:rFonts w:ascii="Arial" w:hAnsi="Arial"/>
                <w:b/>
                <w:bCs/>
              </w:rPr>
            </w:pPr>
            <w:r>
              <w:rPr>
                <w:rFonts w:ascii="Arial" w:hAnsi="Arial"/>
                <w:b/>
                <w:bCs/>
              </w:rPr>
              <w:t xml:space="preserve">Dès qu’il y a une difficulté, </w:t>
            </w:r>
            <w:r w:rsidR="009B108D">
              <w:rPr>
                <w:rFonts w:ascii="Arial" w:hAnsi="Arial"/>
                <w:b/>
                <w:bCs/>
              </w:rPr>
              <w:t xml:space="preserve">l’un des </w:t>
            </w:r>
            <w:r>
              <w:rPr>
                <w:rFonts w:ascii="Arial" w:hAnsi="Arial"/>
                <w:b/>
                <w:bCs/>
              </w:rPr>
              <w:t xml:space="preserve"> enseignant</w:t>
            </w:r>
            <w:r w:rsidR="009B108D">
              <w:rPr>
                <w:rFonts w:ascii="Arial" w:hAnsi="Arial"/>
                <w:b/>
                <w:bCs/>
              </w:rPr>
              <w:t>s vient aiguiller l’élève afin qu’il continue d’avancer  et qu’il ne se sente pas en l’échec.</w:t>
            </w:r>
            <w:bookmarkStart w:id="1" w:name="_GoBack"/>
            <w:bookmarkEnd w:id="1"/>
          </w:p>
        </w:tc>
      </w:tr>
    </w:tbl>
    <w:p w:rsidR="00961F6D" w:rsidRDefault="00961F6D"/>
    <w:sectPr w:rsidR="00961F6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F6D" w:rsidRDefault="009B108D">
      <w:pPr>
        <w:spacing w:after="0" w:line="240" w:lineRule="auto"/>
      </w:pPr>
      <w:r>
        <w:separator/>
      </w:r>
    </w:p>
  </w:endnote>
  <w:endnote w:type="continuationSeparator" w:id="0">
    <w:p w:rsidR="00961F6D" w:rsidRDefault="009B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F6D" w:rsidRDefault="009B108D">
      <w:pPr>
        <w:spacing w:after="0" w:line="240" w:lineRule="auto"/>
      </w:pPr>
      <w:r>
        <w:separator/>
      </w:r>
    </w:p>
  </w:footnote>
  <w:footnote w:type="continuationSeparator" w:id="0">
    <w:p w:rsidR="00961F6D" w:rsidRDefault="009B1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F529A"/>
    <w:multiLevelType w:val="hybridMultilevel"/>
    <w:tmpl w:val="4356ACCE"/>
    <w:lvl w:ilvl="0" w:tplc="08F4F67C">
      <w:start w:val="4"/>
      <w:numFmt w:val="bullet"/>
      <w:lvlText w:val="-"/>
      <w:lvlJc w:val="left"/>
      <w:pPr>
        <w:ind w:left="720" w:hanging="360"/>
      </w:pPr>
      <w:rPr>
        <w:rFonts w:ascii="Calibri" w:eastAsia="Times New Roman" w:hAnsi="Calibri" w:cs="Calibri" w:hint="default"/>
        <w:sz w:val="20"/>
      </w:rPr>
    </w:lvl>
    <w:lvl w:ilvl="1" w:tplc="9350CCC2">
      <w:start w:val="1"/>
      <w:numFmt w:val="bullet"/>
      <w:lvlText w:val="o"/>
      <w:lvlJc w:val="left"/>
      <w:pPr>
        <w:ind w:left="1440" w:hanging="360"/>
      </w:pPr>
      <w:rPr>
        <w:rFonts w:ascii="Courier New" w:hAnsi="Courier New" w:cs="Courier New" w:hint="default"/>
      </w:rPr>
    </w:lvl>
    <w:lvl w:ilvl="2" w:tplc="EE9C5694">
      <w:start w:val="1"/>
      <w:numFmt w:val="bullet"/>
      <w:lvlText w:val=""/>
      <w:lvlJc w:val="left"/>
      <w:pPr>
        <w:ind w:left="2160" w:hanging="360"/>
      </w:pPr>
      <w:rPr>
        <w:rFonts w:ascii="Wingdings" w:hAnsi="Wingdings" w:hint="default"/>
      </w:rPr>
    </w:lvl>
    <w:lvl w:ilvl="3" w:tplc="D6F89FE6">
      <w:start w:val="1"/>
      <w:numFmt w:val="bullet"/>
      <w:lvlText w:val=""/>
      <w:lvlJc w:val="left"/>
      <w:pPr>
        <w:ind w:left="2880" w:hanging="360"/>
      </w:pPr>
      <w:rPr>
        <w:rFonts w:ascii="Symbol" w:hAnsi="Symbol" w:hint="default"/>
      </w:rPr>
    </w:lvl>
    <w:lvl w:ilvl="4" w:tplc="D898CF7E">
      <w:start w:val="1"/>
      <w:numFmt w:val="bullet"/>
      <w:lvlText w:val="o"/>
      <w:lvlJc w:val="left"/>
      <w:pPr>
        <w:ind w:left="3600" w:hanging="360"/>
      </w:pPr>
      <w:rPr>
        <w:rFonts w:ascii="Courier New" w:hAnsi="Courier New" w:cs="Courier New" w:hint="default"/>
      </w:rPr>
    </w:lvl>
    <w:lvl w:ilvl="5" w:tplc="93302896">
      <w:start w:val="1"/>
      <w:numFmt w:val="bullet"/>
      <w:lvlText w:val=""/>
      <w:lvlJc w:val="left"/>
      <w:pPr>
        <w:ind w:left="4320" w:hanging="360"/>
      </w:pPr>
      <w:rPr>
        <w:rFonts w:ascii="Wingdings" w:hAnsi="Wingdings" w:hint="default"/>
      </w:rPr>
    </w:lvl>
    <w:lvl w:ilvl="6" w:tplc="4DA87E0A">
      <w:start w:val="1"/>
      <w:numFmt w:val="bullet"/>
      <w:lvlText w:val=""/>
      <w:lvlJc w:val="left"/>
      <w:pPr>
        <w:ind w:left="5040" w:hanging="360"/>
      </w:pPr>
      <w:rPr>
        <w:rFonts w:ascii="Symbol" w:hAnsi="Symbol" w:hint="default"/>
      </w:rPr>
    </w:lvl>
    <w:lvl w:ilvl="7" w:tplc="BA62D844">
      <w:start w:val="1"/>
      <w:numFmt w:val="bullet"/>
      <w:lvlText w:val="o"/>
      <w:lvlJc w:val="left"/>
      <w:pPr>
        <w:ind w:left="5760" w:hanging="360"/>
      </w:pPr>
      <w:rPr>
        <w:rFonts w:ascii="Courier New" w:hAnsi="Courier New" w:cs="Courier New" w:hint="default"/>
      </w:rPr>
    </w:lvl>
    <w:lvl w:ilvl="8" w:tplc="6000651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6D"/>
    <w:rsid w:val="00367E64"/>
    <w:rsid w:val="00961F6D"/>
    <w:rsid w:val="009B1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E648"/>
  <w15:docId w15:val="{A41CDFCF-6EE3-4EC0-AC07-01A98C76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unhideWhenUsed/>
    <w:pPr>
      <w:spacing w:after="0" w:line="360" w:lineRule="auto"/>
      <w:jc w:val="center"/>
    </w:pPr>
    <w:rPr>
      <w:rFonts w:ascii="Calibri" w:eastAsia="Times New Roman" w:hAnsi="Calibri" w:cs="Arial"/>
      <w:sz w:val="24"/>
      <w:szCs w:val="24"/>
      <w:lang w:eastAsia="fr-FR"/>
    </w:rPr>
  </w:style>
  <w:style w:type="character" w:customStyle="1" w:styleId="CorpsdetexteCar">
    <w:name w:val="Corps de texte Car"/>
    <w:basedOn w:val="Policepardfaut"/>
    <w:link w:val="Corpsdetexte"/>
    <w:rPr>
      <w:rFonts w:ascii="Calibri" w:eastAsia="Times New Roman" w:hAnsi="Calibri"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millliat</dc:creator>
  <cp:keywords/>
  <dc:description/>
  <cp:lastModifiedBy>Maguy BOIVANT</cp:lastModifiedBy>
  <cp:revision>2</cp:revision>
  <dcterms:created xsi:type="dcterms:W3CDTF">2023-06-12T12:04:00Z</dcterms:created>
  <dcterms:modified xsi:type="dcterms:W3CDTF">2023-06-12T12:04:00Z</dcterms:modified>
</cp:coreProperties>
</file>