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272F" w14:textId="77777777" w:rsidR="00BF7215" w:rsidRDefault="00BF7215" w:rsidP="007112C2">
      <w:pPr>
        <w:rPr>
          <w:rFonts w:ascii="Arial" w:hAnsi="Arial" w:cs="Arial"/>
          <w:b/>
          <w:bCs/>
        </w:rPr>
      </w:pPr>
    </w:p>
    <w:p w14:paraId="6D1F2052" w14:textId="39D1001C" w:rsidR="00BF7215" w:rsidRDefault="00BF7215" w:rsidP="00BF72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 faux-châssis</w:t>
      </w:r>
      <w:r w:rsidR="00B227B3">
        <w:rPr>
          <w:rFonts w:ascii="Arial" w:hAnsi="Arial" w:cs="Arial"/>
          <w:b/>
          <w:bCs/>
          <w:sz w:val="28"/>
          <w:szCs w:val="28"/>
        </w:rPr>
        <w:t> : principes et dimensionnement</w:t>
      </w:r>
    </w:p>
    <w:p w14:paraId="5E27D981" w14:textId="72B10420" w:rsidR="00BF7215" w:rsidRPr="00BF7215" w:rsidRDefault="00BF7215" w:rsidP="00B227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Les deux dossiers sur la conception de faux-châssis permet</w:t>
      </w:r>
      <w:r w:rsidR="00D72C82">
        <w:rPr>
          <w:rFonts w:ascii="Arial" w:hAnsi="Arial" w:cs="Arial"/>
          <w:b/>
          <w:bCs/>
          <w:sz w:val="20"/>
          <w:szCs w:val="20"/>
        </w:rPr>
        <w:t>tent</w:t>
      </w:r>
      <w:r w:rsidRPr="00BF7215">
        <w:rPr>
          <w:rFonts w:ascii="Arial" w:hAnsi="Arial" w:cs="Arial"/>
          <w:b/>
          <w:bCs/>
          <w:sz w:val="20"/>
          <w:szCs w:val="20"/>
        </w:rPr>
        <w:t xml:space="preserve"> d’aborder les tâches professionnelles, compétences et savoirs ci-dessous :</w:t>
      </w:r>
    </w:p>
    <w:p w14:paraId="39D02379" w14:textId="77777777"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</w:p>
    <w:p w14:paraId="00EDAB3C" w14:textId="77777777"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Tâches professionnelles :</w:t>
      </w:r>
    </w:p>
    <w:p w14:paraId="38CEBAD8" w14:textId="77777777" w:rsidR="00BF7215" w:rsidRPr="00BF7215" w:rsidRDefault="00BF7215" w:rsidP="00BF7215">
      <w:pPr>
        <w:pStyle w:val="Paragraphedeliste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Analyser le besoin d’un client</w:t>
      </w:r>
    </w:p>
    <w:p w14:paraId="6DE2C416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1.2 Élaborer tout ou partie d’un cahier des charges fonctionnel</w:t>
      </w:r>
    </w:p>
    <w:p w14:paraId="2F898092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162F30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1.3 Réaliser une conception ou une modification préliminaire</w:t>
      </w:r>
    </w:p>
    <w:p w14:paraId="731D2F95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B75D97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1.4 Concevoir une intégration d’équipements sur véhicules</w:t>
      </w:r>
    </w:p>
    <w:p w14:paraId="328E4A70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A89B3" w14:textId="77777777"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1.5 Réaliser une conception ou une modification détaillée de produits carrossés</w:t>
      </w:r>
    </w:p>
    <w:p w14:paraId="501157CA" w14:textId="77777777"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</w:p>
    <w:p w14:paraId="4461D053" w14:textId="77777777"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compétences :</w:t>
      </w:r>
    </w:p>
    <w:p w14:paraId="7781E83A" w14:textId="77777777"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C02. Déterminer les caractéristiques d’un produit carrossé</w:t>
      </w:r>
    </w:p>
    <w:p w14:paraId="4DB6DE5F" w14:textId="77777777"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C03. Réaliser une conception préliminaire</w:t>
      </w:r>
    </w:p>
    <w:p w14:paraId="7B7DD287" w14:textId="77777777"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C06. Réaliser une conception détaillée</w:t>
      </w:r>
    </w:p>
    <w:p w14:paraId="25027417" w14:textId="77777777"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C04. Caractériser une relation produit – procédé – matériau</w:t>
      </w:r>
    </w:p>
    <w:p w14:paraId="6A2C5152" w14:textId="77777777"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</w:p>
    <w:p w14:paraId="4138B51E" w14:textId="77777777"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savoirs et attendus :</w:t>
      </w:r>
    </w:p>
    <w:p w14:paraId="3789232E" w14:textId="77777777" w:rsidR="007112C2" w:rsidRPr="00BF7215" w:rsidRDefault="007112C2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S8.2.3 Intégration des équipements spécifiques</w:t>
      </w:r>
    </w:p>
    <w:p w14:paraId="2317690A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Châssis, faux châssis :</w:t>
      </w:r>
    </w:p>
    <w:p w14:paraId="5425697E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modifications, rigidité, caissonnage ;</w:t>
      </w:r>
    </w:p>
    <w:p w14:paraId="3A4CDDD7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installation de faux châssis (liaisons,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débattement par rapport aux roues) ;</w:t>
      </w:r>
    </w:p>
    <w:p w14:paraId="31E75D7E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réglementation et préconisations du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constructeur.</w:t>
      </w:r>
    </w:p>
    <w:p w14:paraId="13FA8331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Grues : fixations, Inertie faux châssis / couple de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levage, stabilisateurs, liaisons mécaniques,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liaisons électriques.</w:t>
      </w:r>
    </w:p>
    <w:p w14:paraId="0C87AF2B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Bras hydrauliques : installation sur châssis,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cinématiques, fixations, branchements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électriques, hydrauliques.</w:t>
      </w:r>
    </w:p>
    <w:p w14:paraId="4C57B938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Hayons élévateurs : installation sur châssis,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cinématiques, fixations, branchements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électriques, hydrauliques.</w:t>
      </w:r>
    </w:p>
    <w:p w14:paraId="5C6986D0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Bennes :</w:t>
      </w:r>
    </w:p>
    <w:p w14:paraId="5765C1DD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installation sur châssis ;</w:t>
      </w:r>
    </w:p>
    <w:p w14:paraId="75CB0F21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système de levage ;</w:t>
      </w:r>
    </w:p>
    <w:p w14:paraId="0A1048A6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cinématique bibenne, tribenne, fixations,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branchements électriques, hydrauliques.</w:t>
      </w:r>
    </w:p>
    <w:p w14:paraId="2DBFABE6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Plateaux : installation sur châssis, cinématique.</w:t>
      </w:r>
    </w:p>
    <w:p w14:paraId="2D3254BF" w14:textId="77777777"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Caisses amovibles : installation sur châssis,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verrous rapides (twist-lock), stationnement.</w:t>
      </w:r>
    </w:p>
    <w:p w14:paraId="7EE9F415" w14:textId="77777777" w:rsidR="007112C2" w:rsidRPr="00BF7215" w:rsidRDefault="007112C2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Caisses isothermes, groupes frigorifiques :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installation sur châssis, installation de groupes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frigorifiques, les éléments d’accastillage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(cloisons mobiles, crochets), les</w:t>
      </w:r>
      <w:r w:rsidR="001F214F" w:rsidRPr="00BF7215">
        <w:rPr>
          <w:rFonts w:ascii="Arial" w:hAnsi="Arial" w:cs="Arial"/>
          <w:sz w:val="20"/>
          <w:szCs w:val="20"/>
        </w:rPr>
        <w:t xml:space="preserve"> </w:t>
      </w:r>
      <w:r w:rsidRPr="00BF7215">
        <w:rPr>
          <w:rFonts w:ascii="Arial" w:hAnsi="Arial" w:cs="Arial"/>
          <w:sz w:val="20"/>
          <w:szCs w:val="20"/>
        </w:rPr>
        <w:t>réglementations.</w:t>
      </w:r>
    </w:p>
    <w:p w14:paraId="7045BB84" w14:textId="77777777" w:rsidR="00006861" w:rsidRPr="00BF7215" w:rsidRDefault="00006861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37BAC1" w14:textId="77777777" w:rsidR="00006861" w:rsidRPr="00BF7215" w:rsidRDefault="00006861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Attendus :</w:t>
      </w:r>
    </w:p>
    <w:p w14:paraId="7B044511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systèmes avec leurs composants.</w:t>
      </w:r>
    </w:p>
    <w:p w14:paraId="6DDA9DE6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réglementations associées.</w:t>
      </w:r>
    </w:p>
    <w:p w14:paraId="76E88327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implantations.</w:t>
      </w:r>
    </w:p>
    <w:p w14:paraId="50FC6016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Décrire le fonctionnement.</w:t>
      </w:r>
    </w:p>
    <w:p w14:paraId="7CFEFBA3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caractéristiques associées.</w:t>
      </w:r>
    </w:p>
    <w:p w14:paraId="5D089FA3" w14:textId="77777777"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procédures d’intervention.</w:t>
      </w:r>
    </w:p>
    <w:p w14:paraId="2EE12122" w14:textId="77777777" w:rsidR="007112C2" w:rsidRDefault="007112C2" w:rsidP="007112C2"/>
    <w:sectPr w:rsidR="007112C2" w:rsidSect="00D577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6712"/>
    <w:multiLevelType w:val="multilevel"/>
    <w:tmpl w:val="BCFA5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ED0651"/>
    <w:multiLevelType w:val="multilevel"/>
    <w:tmpl w:val="FD2AD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2"/>
    <w:rsid w:val="00006861"/>
    <w:rsid w:val="001F214F"/>
    <w:rsid w:val="007112C2"/>
    <w:rsid w:val="00B227B3"/>
    <w:rsid w:val="00BF7215"/>
    <w:rsid w:val="00D53FEE"/>
    <w:rsid w:val="00D577DC"/>
    <w:rsid w:val="00D72C82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2E31"/>
  <w15:chartTrackingRefBased/>
  <w15:docId w15:val="{603051DE-67E0-44AA-84C2-FA90B23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Jean-Charles  CRINCHON</cp:lastModifiedBy>
  <cp:revision>4</cp:revision>
  <dcterms:created xsi:type="dcterms:W3CDTF">2022-04-02T17:10:00Z</dcterms:created>
  <dcterms:modified xsi:type="dcterms:W3CDTF">2022-04-03T06:42:00Z</dcterms:modified>
</cp:coreProperties>
</file>