
<file path=[Content_Types].xml><?xml version="1.0" encoding="utf-8"?>
<Types xmlns="http://schemas.openxmlformats.org/package/2006/content-types">
  <Default Extension="jpg" ContentType="image/jpeg"/>
  <Default Extension="wmf" ContentType="image/x-wmf"/>
  <Default Extension="png" ContentType="image/png"/>
  <Default Extension="xml" ContentType="application/xml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Style w:val="655"/>
        <w:tblW w:w="10773" w:type="dxa"/>
        <w:tblInd w:w="57" w:type="dxa"/>
        <w:tblCellMar>
          <w:left w:w="57" w:type="dxa"/>
          <w:right w:w="108" w:type="dxa"/>
        </w:tblCellMar>
        <w:tblLook w:val="0000" w:firstRow="0" w:lastRow="0" w:firstColumn="0" w:lastColumn="0" w:noHBand="0" w:noVBand="0"/>
      </w:tblPr>
      <w:tblGrid>
        <w:gridCol w:w="4677"/>
        <w:gridCol w:w="6096"/>
      </w:tblGrid>
      <w:tr>
        <w:trPr>
          <w:trHeight w:val="397"/>
        </w:trPr>
        <w:tc>
          <w:tcPr>
            <w:gridSpan w:val="2"/>
            <w:shd w:val="clear" w:color="auto" w:fill="B7DDE8"/>
            <w:tcBorders>
              <w:left w:val="single" w:color="000001" w:sz="12" w:space="0"/>
              <w:top w:val="single" w:color="000001" w:sz="12" w:space="0"/>
              <w:right w:val="single" w:color="000001" w:sz="12" w:space="0"/>
              <w:bottom w:val="single" w:color="000001" w:sz="6" w:space="0"/>
            </w:tcBorders>
            <w:tcW w:w="10773" w:type="dxa"/>
            <w:vAlign w:val="center"/>
            <w:textDirection w:val="lrTb"/>
            <w:noWrap w:val="false"/>
          </w:tcPr>
          <w:p>
            <w:pPr>
              <w:jc w:val="center"/>
              <w:spacing w:before="120"/>
              <w:rPr>
                <w:rFonts w:ascii="Calibri" w:hAnsi="Calibri" w:cs="Calibri" w:eastAsia="Calibri"/>
                <w:b/>
                <w:color w:val="000000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36"/>
                <w:szCs w:val="36"/>
              </w:rPr>
              <w:t xml:space="preserve">FICHE PÉDAGOGIQUE DE LA SÉQUENCE n°1</w:t>
            </w:r>
            <w:r/>
          </w:p>
        </w:tc>
      </w:tr>
      <w:tr>
        <w:trPr>
          <w:trHeight w:val="666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W w:w="4677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i/>
                <w:color w:val="000000"/>
                <w:sz w:val="8"/>
                <w:szCs w:val="8"/>
              </w:rPr>
            </w:pPr>
            <w:r/>
            <w:bookmarkStart w:id="0" w:name="_3ttdyy2t2naj"/>
            <w:r/>
            <w:bookmarkEnd w:id="0"/>
            <w:r>
              <w:rPr>
                <w:rFonts w:ascii="Calibri" w:hAnsi="Calibri" w:cs="Calibri" w:eastAsia="Calibri"/>
                <w:b/>
                <w:i/>
                <w:color w:val="000000"/>
                <w:sz w:val="8"/>
                <w:szCs w:val="8"/>
              </w:rPr>
              <mc:AlternateContent>
                <mc:Choice Requires="wpg">
                  <w:drawing>
                    <wp:anchor xmlns:wp="http://schemas.openxmlformats.org/drawingml/2006/wordprocessingDrawing"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564855</wp:posOffset>
                      </wp:positionH>
                      <wp:positionV relativeFrom="paragraph">
                        <wp:posOffset>24765</wp:posOffset>
                      </wp:positionV>
                      <wp:extent cx="1924050" cy="920521"/>
                      <wp:effectExtent l="6350" t="6350" r="6350" b="6350"/>
                      <wp:wrapNone/>
                      <wp:docPr id="1" name="Rectangle 1" hidden="fal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924049" cy="9205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mc:AlternateContent>
                                      <mc:Choice Requires="wpg">
                                        <w:drawing>
                                          <wp:inline xmlns:wp="http://schemas.openxmlformats.org/drawingml/2006/wordprocessingDrawing" distT="0" distB="0" distL="0" distR="0">
                                            <wp:extent cx="1479890" cy="827630"/>
                                            <wp:effectExtent l="0" t="0" r="0" b="0"/>
                                            <wp:docPr id="2" name="Image 3" hidden="false"/>
                                            <wp:cNvGraphicFramePr>
                                              <a:graphicFrameLocks xmlns:a="http://schemas.openxmlformats.org/drawingml/2006/main" noChangeAspect="true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4" name="Image 3" hidden="0"/>
                                                    <pic:cNvPicPr>
                                                      <a:picLocks noChangeAspect="1"/>
                                                    </pic:cNvPicPr>
                                                  </pic:nvPicPr>
                                                  <pic:blipFill>
                                                    <a:blip r:embed="rId8"/>
                                                    <a:stretch/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479889" cy="827629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shapetype type="#_x0000_t75" o:spt="75" coordsize="21600,21600" o:preferrelative="t" path="m@4@5l@4@11@9@11@9@5xe">
                                            <v:formulas>
                                              <v:f eqn="if lineDrawn pixelLineWidth 0"/>
                                              <v:f eqn="sum @0 1 0"/>
                                              <v:f eqn="sum 0 0 @1"/>
                                              <v:f eqn="prod @2 1 2"/>
                                              <v:f eqn="prod @3 21600 pixelWidth"/>
                                              <v:f eqn="prod @3 21600 pixelHeight"/>
                                              <v:f eqn="sum @0 0 1"/>
                                              <v:f eqn="prod @6 1 2"/>
                                              <v:f eqn="prod @7 21600 pixelWidth"/>
                                              <v:f eqn="sum @8 21600 0"/>
                                              <v:f eqn="prod @7 21600 pixelHeight"/>
                                              <v:f eqn="sum @10 21600 0"/>
                                            </v:formulas>
                                          </v:shapetype>
                                          <v:shape id="_x0000_i0" o:spid="_x0000_s0" type="#_x0000_t75" style="mso-wrap-distance-left:0.0pt;mso-wrap-distance-top:0.0pt;mso-wrap-distance-right:0.0pt;mso-wrap-distance-bottom:0.0pt;width:116.5pt;height:65.2pt;" stroked="false">
                                            <v:path textboxrect="0,0,0,0"/>
                                            <v:imagedata r:id="rId8" o:title=""/>
                                          </v:shape>
                                        </w:pict>
                                      </mc:Fallback>
                                    </mc:AlternateContent>
                                  </w:r>
                                  <w:r/>
                                </w:p>
                              </w:txbxContent>
                            </wps:txbx>
                            <wps:bodyPr wrap="square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" o:spid="_x0000_s1" o:spt="1" style="position:absolute;mso-wrap-distance-left:9.0pt;mso-wrap-distance-top:0.0pt;mso-wrap-distance-right:9.0pt;mso-wrap-distance-bottom:0.0pt;z-index:251656192;o:allowoverlap:true;o:allowincell:true;mso-position-horizontal-relative:text;margin-left:44.5pt;mso-position-horizontal:absolute;mso-position-vertical-relative:text;margin-top:1.9pt;mso-position-vertical:absolute;width:151.5pt;height:72.5pt;" coordsize="100000,100000" path="" fillcolor="#FFFFFF" strokecolor="#000000">
                      <v:path textboxrect="0,0,0,0"/>
                      <v:textbox>
                        <w:txbxContent>
                          <w:p>
                            <w:pPr>
                              <w:jc w:val="center"/>
                            </w:pPr>
                            <w:r>
                              <mc:AlternateContent>
                                <mc:Choice Requires="wpg">
                                  <w:drawing>
                                    <wp:inline xmlns:wp="http://schemas.openxmlformats.org/drawingml/2006/wordprocessingDrawing" distT="0" distB="0" distL="0" distR="0">
                                      <wp:extent cx="1479890" cy="827630"/>
                                      <wp:effectExtent l="0" t="0" r="0" b="0"/>
                                      <wp:docPr id="2" name="Image 3" hidden="false"/>
                                      <wp:cNvGraphicFramePr>
                                        <a:graphicFrameLocks xmlns:a="http://schemas.openxmlformats.org/drawingml/2006/main" noChangeAspect="true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" name="Image 3" hidden="0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8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79889" cy="82762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type type="#_x0000_t75" o:spt="75" coordsize="21600,21600" o:preferrelative="t" path="m@4@5l@4@11@9@11@9@5xe"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</v:shapetype>
                                    <v:shape id="_x0000_i0" o:spid="_x0000_s0" type="#_x0000_t75" style="mso-wrap-distance-left:0.0pt;mso-wrap-distance-top:0.0pt;mso-wrap-distance-right:0.0pt;mso-wrap-distance-bottom:0.0pt;width:116.5pt;height:65.2pt;" stroked="false">
                                      <v:path textboxrect="0,0,0,0"/>
                                      <v:imagedata r:id="rId8" o:title=""/>
                                    </v:shape>
                                  </w:pict>
                                </mc:Fallback>
                              </mc:AlternateContent>
                            </w:r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/>
          </w:p>
          <w:p>
            <w:pPr>
              <w:jc w:val="both"/>
              <w:spacing w:after="120"/>
              <w:rPr>
                <w:rFonts w:ascii="Calibri" w:hAnsi="Calibri" w:cs="Calibri" w:eastAsia="Calibri"/>
                <w:b/>
                <w:i/>
                <w:color w:val="000000"/>
                <w:sz w:val="8"/>
                <w:szCs w:val="8"/>
              </w:rPr>
            </w:pPr>
            <w:r/>
            <w:bookmarkStart w:id="1" w:name="_gjdgxs"/>
            <w:r/>
            <w:bookmarkEnd w:id="1"/>
            <w:r/>
            <w:r/>
          </w:p>
          <w:p>
            <w:pPr>
              <w:jc w:val="both"/>
              <w:spacing w:after="120"/>
              <w:rPr>
                <w:rFonts w:ascii="Calibri" w:hAnsi="Calibri" w:cs="Calibri" w:eastAsia="Calibri"/>
                <w:b/>
                <w:i/>
                <w:color w:val="000000"/>
                <w:sz w:val="8"/>
                <w:szCs w:val="8"/>
              </w:rPr>
            </w:pPr>
            <w:r>
              <w:rPr>
                <w:rFonts w:ascii="Calibri" w:hAnsi="Calibri" w:cs="Calibri" w:eastAsia="Calibri"/>
                <w:b/>
                <w:i/>
                <w:color w:val="000000"/>
                <w:sz w:val="8"/>
                <w:szCs w:val="8"/>
              </w:rPr>
            </w:r>
            <w:r/>
          </w:p>
          <w:p>
            <w:pPr>
              <w:jc w:val="both"/>
              <w:spacing w:after="120"/>
              <w:rPr>
                <w:rFonts w:ascii="Calibri" w:hAnsi="Calibri" w:cs="Calibri" w:eastAsia="Calibri"/>
                <w:b/>
                <w:i/>
                <w:color w:val="000000"/>
                <w:sz w:val="8"/>
                <w:szCs w:val="8"/>
              </w:rPr>
            </w:pPr>
            <w:r>
              <w:rPr>
                <w:rFonts w:ascii="Calibri" w:hAnsi="Calibri" w:cs="Calibri" w:eastAsia="Calibri"/>
                <w:b/>
                <w:i/>
                <w:color w:val="000000"/>
                <w:sz w:val="8"/>
                <w:szCs w:val="8"/>
              </w:rPr>
            </w:r>
            <w:r/>
          </w:p>
          <w:p>
            <w:pPr>
              <w:jc w:val="both"/>
              <w:spacing w:after="120"/>
              <w:rPr>
                <w:rFonts w:ascii="Calibri" w:hAnsi="Calibri" w:cs="Calibri" w:eastAsia="Calibri"/>
                <w:b/>
                <w:i/>
                <w:color w:val="000000"/>
                <w:sz w:val="8"/>
                <w:szCs w:val="8"/>
              </w:rPr>
            </w:pPr>
            <w:r>
              <w:rPr>
                <w:rFonts w:ascii="Calibri" w:hAnsi="Calibri" w:cs="Calibri" w:eastAsia="Calibri"/>
                <w:b/>
                <w:i/>
                <w:color w:val="000000"/>
                <w:sz w:val="8"/>
                <w:szCs w:val="8"/>
              </w:rPr>
            </w:r>
            <w:r/>
          </w:p>
          <w:p>
            <w:pPr>
              <w:jc w:val="both"/>
              <w:spacing w:after="120"/>
              <w:rPr>
                <w:rFonts w:ascii="Calibri" w:hAnsi="Calibri" w:cs="Calibri" w:eastAsia="Calibri"/>
                <w:b/>
                <w:i/>
                <w:color w:val="000000"/>
                <w:sz w:val="8"/>
                <w:szCs w:val="8"/>
              </w:rPr>
            </w:pPr>
            <w:r>
              <w:rPr>
                <w:rFonts w:ascii="Calibri" w:hAnsi="Calibri" w:cs="Calibri" w:eastAsia="Calibri"/>
                <w:b/>
                <w:i/>
                <w:color w:val="000000"/>
                <w:sz w:val="8"/>
                <w:szCs w:val="8"/>
              </w:rPr>
            </w:r>
            <w:r/>
          </w:p>
          <w:p>
            <w:pPr>
              <w:jc w:val="both"/>
              <w:spacing w:after="120"/>
              <w:rPr>
                <w:rFonts w:ascii="Calibri" w:hAnsi="Calibri" w:cs="Calibri" w:eastAsia="Calibri"/>
                <w:b/>
                <w:i/>
                <w:color w:val="000000"/>
                <w:sz w:val="8"/>
                <w:szCs w:val="8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180340</wp:posOffset>
                      </wp:positionV>
                      <wp:extent cx="2807335" cy="2232660"/>
                      <wp:effectExtent l="0" t="0" r="0" b="0"/>
                      <wp:wrapSquare wrapText="bothSides"/>
                      <wp:docPr id="3" name="Rectangle 3" hidden="fal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807334" cy="2232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rou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631"/>
                                    <w:rPr>
                                      <w:b/>
                                      <w:color w:val="F79646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79646" w:themeColor="accent6"/>
                                      <w:sz w:val="22"/>
                                      <w:szCs w:val="22"/>
                                    </w:rPr>
                                    <w:t xml:space="preserve">Vous êtes en charge de la préparation de deux interventions.</w:t>
                                  </w:r>
                                  <w:r/>
                                </w:p>
                                <w:p>
                                  <w:pPr>
                                    <w:pStyle w:val="631"/>
                                    <w:rPr>
                                      <w:b/>
                                      <w:color w:val="F79646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79646" w:themeColor="accent6"/>
                                      <w:sz w:val="22"/>
                                      <w:szCs w:val="22"/>
                                      <w:u w:val="single"/>
                                    </w:rPr>
                                    <w:t xml:space="preserve">La première,</w:t>
                                  </w:r>
                                  <w:r>
                                    <w:rPr>
                                      <w:b/>
                                      <w:color w:val="F79646" w:themeColor="accent6"/>
                                      <w:sz w:val="22"/>
                                      <w:szCs w:val="22"/>
                                    </w:rPr>
                                    <w:t xml:space="preserve"> après l’obtention du Consuel, est la pré-mise en service pour assurer</w:t>
                                  </w:r>
                                  <w:r>
                                    <w:rPr>
                                      <w:b/>
                                      <w:color w:val="F79646" w:themeColor="accent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79646" w:themeColor="accent6"/>
                                      <w:sz w:val="22"/>
                                      <w:szCs w:val="22"/>
                                    </w:rPr>
                                    <w:t xml:space="preserve">le séchage de la dalle plancher chauffant (gaz propane uniquement disponible :</w:t>
                                  </w:r>
                                  <w:r>
                                    <w:rPr>
                                      <w:b/>
                                      <w:color w:val="F79646" w:themeColor="accent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79646" w:themeColor="accent6"/>
                                      <w:sz w:val="22"/>
                                      <w:szCs w:val="22"/>
                                    </w:rPr>
                                    <w:t xml:space="preserve">le groupe extérieur n’est pas installé car le maçon n’a pas réalisé la dalle pour la</w:t>
                                  </w:r>
                                  <w:r>
                                    <w:rPr>
                                      <w:b/>
                                      <w:color w:val="F79646" w:themeColor="accent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79646" w:themeColor="accent6"/>
                                      <w:sz w:val="22"/>
                                      <w:szCs w:val="22"/>
                                    </w:rPr>
                                    <w:t xml:space="preserve">supporter).</w:t>
                                  </w:r>
                                  <w:r/>
                                </w:p>
                                <w:p>
                                  <w:pPr>
                                    <w:pStyle w:val="631"/>
                                    <w:rPr>
                                      <w:b/>
                                      <w:color w:val="F79646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79646" w:themeColor="accent6"/>
                                      <w:sz w:val="22"/>
                                      <w:szCs w:val="22"/>
                                    </w:rPr>
                                    <w:t xml:space="preserve">Puis la</w:t>
                                  </w:r>
                                  <w:r>
                                    <w:rPr>
                                      <w:b/>
                                      <w:color w:val="F79646" w:themeColor="accent6"/>
                                      <w:sz w:val="22"/>
                                      <w:szCs w:val="22"/>
                                      <w:u w:val="single"/>
                                    </w:rPr>
                                    <w:t xml:space="preserve"> seconde</w:t>
                                  </w:r>
                                  <w:r>
                                    <w:rPr>
                                      <w:b/>
                                      <w:color w:val="F79646" w:themeColor="accent6"/>
                                      <w:sz w:val="22"/>
                                      <w:szCs w:val="22"/>
                                    </w:rPr>
                                    <w:t xml:space="preserve"> est la mise en service définitive de l’installation hybride (PAC,</w:t>
                                  </w:r>
                                  <w:r>
                                    <w:rPr>
                                      <w:b/>
                                      <w:color w:val="F79646" w:themeColor="accent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79646" w:themeColor="accent6"/>
                                      <w:sz w:val="22"/>
                                      <w:szCs w:val="22"/>
                                    </w:rPr>
                                    <w:t xml:space="preserve">gaz) alimentant un circuit plancher chauffant, un circuit radiateur et assurant la</w:t>
                                  </w:r>
                                  <w:r>
                                    <w:rPr>
                                      <w:b/>
                                      <w:color w:val="F79646" w:themeColor="accent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79646" w:themeColor="accent6"/>
                                      <w:sz w:val="22"/>
                                      <w:szCs w:val="22"/>
                                    </w:rPr>
                                    <w:t xml:space="preserve">production d’eau chaude sanitaire.</w:t>
                                  </w:r>
                                  <w:r/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2" o:spid="_x0000_s2" o:spt="1" style="position:absolute;mso-wrap-distance-left:9.0pt;mso-wrap-distance-top:0.0pt;mso-wrap-distance-right:9.0pt;mso-wrap-distance-bottom:0.0pt;z-index:251657216;o:allowoverlap:true;o:allowincell:true;mso-position-horizontal-relative:text;margin-left:-0.4pt;mso-position-horizontal:absolute;mso-position-vertical-relative:text;margin-top:14.2pt;mso-position-vertical:absolute;width:221.0pt;height:175.8pt;" coordsize="100000,100000" path="" filled="f">
                      <v:path textboxrect="0,0,0,0"/>
                      <w10:wrap type="square"/>
                      <v:textbox>
                        <w:txbxContent>
                          <w:p>
                            <w:pPr>
                              <w:pStyle w:val="631"/>
                              <w:rPr>
                                <w:b/>
                                <w:color w:val="F7964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79646" w:themeColor="accent6"/>
                                <w:sz w:val="22"/>
                                <w:szCs w:val="22"/>
                              </w:rPr>
                              <w:t xml:space="preserve">Vous êtes en charge de la préparation de deux interventions.</w:t>
                            </w:r>
                            <w:r/>
                          </w:p>
                          <w:p>
                            <w:pPr>
                              <w:pStyle w:val="631"/>
                              <w:rPr>
                                <w:b/>
                                <w:color w:val="F7964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79646" w:themeColor="accent6"/>
                                <w:sz w:val="22"/>
                                <w:szCs w:val="22"/>
                                <w:u w:val="single"/>
                              </w:rPr>
                              <w:t xml:space="preserve">La première,</w:t>
                            </w:r>
                            <w:r>
                              <w:rPr>
                                <w:b/>
                                <w:color w:val="F79646" w:themeColor="accent6"/>
                                <w:sz w:val="22"/>
                                <w:szCs w:val="22"/>
                              </w:rPr>
                              <w:t xml:space="preserve"> après l’obtention du Consuel, est la pré-mise en service pour assurer</w:t>
                            </w:r>
                            <w:r>
                              <w:rPr>
                                <w:b/>
                                <w:color w:val="F79646" w:themeColor="accent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79646" w:themeColor="accent6"/>
                                <w:sz w:val="22"/>
                                <w:szCs w:val="22"/>
                              </w:rPr>
                              <w:t xml:space="preserve">le séchage de la dalle plancher chauffant (gaz propane uniquement disponible :</w:t>
                            </w:r>
                            <w:r>
                              <w:rPr>
                                <w:b/>
                                <w:color w:val="F79646" w:themeColor="accent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79646" w:themeColor="accent6"/>
                                <w:sz w:val="22"/>
                                <w:szCs w:val="22"/>
                              </w:rPr>
                              <w:t xml:space="preserve">le groupe extérieur n’est pas installé car le maçon n’a pas réalisé la dalle pour la</w:t>
                            </w:r>
                            <w:r>
                              <w:rPr>
                                <w:b/>
                                <w:color w:val="F79646" w:themeColor="accent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79646" w:themeColor="accent6"/>
                                <w:sz w:val="22"/>
                                <w:szCs w:val="22"/>
                              </w:rPr>
                              <w:t xml:space="preserve">supporter).</w:t>
                            </w:r>
                            <w:r/>
                          </w:p>
                          <w:p>
                            <w:pPr>
                              <w:pStyle w:val="631"/>
                              <w:rPr>
                                <w:b/>
                                <w:color w:val="F7964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79646" w:themeColor="accent6"/>
                                <w:sz w:val="22"/>
                                <w:szCs w:val="22"/>
                              </w:rPr>
                              <w:t xml:space="preserve">Puis la</w:t>
                            </w:r>
                            <w:r>
                              <w:rPr>
                                <w:b/>
                                <w:color w:val="F79646" w:themeColor="accent6"/>
                                <w:sz w:val="22"/>
                                <w:szCs w:val="22"/>
                                <w:u w:val="single"/>
                              </w:rPr>
                              <w:t xml:space="preserve"> seconde</w:t>
                            </w:r>
                            <w:r>
                              <w:rPr>
                                <w:b/>
                                <w:color w:val="F79646" w:themeColor="accent6"/>
                                <w:sz w:val="22"/>
                                <w:szCs w:val="22"/>
                              </w:rPr>
                              <w:t xml:space="preserve"> est la mise en service définitive de l’installation hybride (PAC,</w:t>
                            </w:r>
                            <w:r>
                              <w:rPr>
                                <w:b/>
                                <w:color w:val="F79646" w:themeColor="accent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79646" w:themeColor="accent6"/>
                                <w:sz w:val="22"/>
                                <w:szCs w:val="22"/>
                              </w:rPr>
                              <w:t xml:space="preserve">gaz) alimentant un circuit plancher chauffant, un circuit radiateur et assurant la</w:t>
                            </w:r>
                            <w:r>
                              <w:rPr>
                                <w:b/>
                                <w:color w:val="F79646" w:themeColor="accent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79646" w:themeColor="accent6"/>
                                <w:sz w:val="22"/>
                                <w:szCs w:val="22"/>
                              </w:rPr>
                              <w:t xml:space="preserve">production d’eau chaude sanitaire.</w:t>
                            </w:r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6096" w:type="dxa"/>
            <w:vAlign w:val="center"/>
            <w:textDirection w:val="lrTb"/>
            <w:noWrap w:val="false"/>
          </w:tcPr>
          <w:p>
            <w:pPr>
              <w:pStyle w:val="575"/>
              <w:numPr>
                <w:ilvl w:val="0"/>
                <w:numId w:val="3"/>
              </w:numPr>
              <w:jc w:val="center"/>
              <w:spacing w:after="40"/>
              <w:tabs>
                <w:tab w:val="left" w:pos="0" w:leader="none"/>
              </w:tabs>
              <w:rPr>
                <w:rFonts w:ascii="Calibri" w:hAnsi="Calibri" w:cs="Calibri" w:eastAsia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i/>
                <w:color w:val="000000"/>
                <w:sz w:val="18"/>
                <w:szCs w:val="18"/>
              </w:rPr>
              <w:t xml:space="preserve">Problématique</w:t>
            </w:r>
            <w:r/>
          </w:p>
          <w:p>
            <w:pPr>
              <w:jc w:val="center"/>
              <w:rPr>
                <w:rFonts w:ascii="Calibri" w:hAnsi="Calibri" w:cs="Calibri"/>
                <w:b/>
                <w:color w:val="auto"/>
              </w:rPr>
            </w:pPr>
            <w:r>
              <w:rPr>
                <w:rFonts w:ascii="Calibri" w:hAnsi="Calibri" w:cs="Calibri"/>
                <w:b/>
                <w:color w:val="F79646" w:themeColor="accent6"/>
                <w:sz w:val="22"/>
              </w:rPr>
              <w:t xml:space="preserve">Comment préparer son</w:t>
            </w:r>
            <w:r>
              <w:rPr>
                <w:rFonts w:ascii="Calibri" w:hAnsi="Calibri" w:cs="Calibri"/>
                <w:b/>
                <w:color w:val="F79646" w:themeColor="accent6"/>
                <w:spacing w:val="-4"/>
                <w:sz w:val="22"/>
              </w:rPr>
              <w:t xml:space="preserve"> </w:t>
            </w:r>
            <w:r>
              <w:rPr>
                <w:rFonts w:ascii="Calibri" w:hAnsi="Calibri" w:cs="Calibri"/>
                <w:b/>
                <w:color w:val="F79646" w:themeColor="accent6"/>
                <w:spacing w:val="-4"/>
                <w:sz w:val="22"/>
              </w:rPr>
              <w:t xml:space="preserve">i</w:t>
            </w:r>
            <w:r>
              <w:rPr>
                <w:rFonts w:ascii="Calibri" w:hAnsi="Calibri" w:cs="Calibri"/>
                <w:b/>
                <w:color w:val="F79646" w:themeColor="accent6"/>
                <w:sz w:val="22"/>
              </w:rPr>
              <w:t xml:space="preserve">ntervention ?</w:t>
            </w:r>
            <w:r/>
          </w:p>
        </w:tc>
      </w:tr>
      <w:tr>
        <w:trPr>
          <w:trHeight w:val="2830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12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4677" w:type="dxa"/>
            <w:vMerge w:val="continue"/>
            <w:textDirection w:val="lrTb"/>
            <w:noWrap w:val="false"/>
          </w:tcPr>
          <w:p>
            <w:pPr>
              <w:spacing w:lineRule="auto" w:line="276"/>
              <w:widowControl w:val="off"/>
            </w:pPr>
            <w:r/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12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6096" w:type="dxa"/>
            <w:vAlign w:val="center"/>
            <w:textDirection w:val="lrTb"/>
            <w:noWrap w:val="false"/>
          </w:tcPr>
          <w:p>
            <w:pPr>
              <w:pStyle w:val="575"/>
              <w:numPr>
                <w:ilvl w:val="0"/>
                <w:numId w:val="3"/>
              </w:numPr>
              <w:jc w:val="center"/>
              <w:spacing w:after="40" w:before="40"/>
              <w:tabs>
                <w:tab w:val="left" w:pos="0" w:leader="none"/>
              </w:tabs>
              <w:rPr>
                <w:rFonts w:ascii="Calibri" w:hAnsi="Calibri" w:cs="Calibri" w:eastAsia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i/>
                <w:color w:val="000000"/>
                <w:sz w:val="18"/>
                <w:szCs w:val="18"/>
              </w:rPr>
              <w:t xml:space="preserve">Positionnement sur la classe de seconde</w:t>
            </w:r>
            <w:r/>
          </w:p>
          <w:p>
            <w:pPr>
              <w:pStyle w:val="575"/>
              <w:numPr>
                <w:ilvl w:val="0"/>
                <w:numId w:val="3"/>
              </w:numPr>
              <w:ind w:left="387"/>
              <w:jc w:val="center"/>
              <w:spacing w:after="40" w:before="40"/>
              <w:tabs>
                <w:tab w:val="left" w:pos="387" w:leader="none"/>
              </w:tabs>
              <w:rPr>
                <w:rFonts w:ascii="Calibri" w:hAnsi="Calibri" w:cs="Calibri" w:eastAsia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i/>
                <w:color w:val="000000"/>
                <w:sz w:val="18"/>
                <w:szCs w:val="18"/>
              </w:rPr>
              <w:t xml:space="preserve">Début d’année                                                                              Fin d’année</w:t>
            </w:r>
            <w:r/>
          </w:p>
          <w:tbl>
            <w:tblPr>
              <w:tblStyle w:val="656"/>
              <w:tblW w:w="5295" w:type="dxa"/>
              <w:tblInd w:w="548" w:type="dxa"/>
              <w:tblCellMar>
                <w:right w:w="0" w:type="dxa"/>
              </w:tblCellMar>
              <w:tblLook w:val="0400" w:firstRow="0" w:lastRow="0" w:firstColumn="0" w:lastColumn="0" w:noHBand="0" w:noVBand="1"/>
            </w:tblPr>
            <w:tblGrid>
              <w:gridCol w:w="435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</w:tblGrid>
            <w:tr>
              <w:trPr/>
              <w:tc>
                <w:tcPr>
                  <w:shd w:val="clear" w:color="auto" w:fill="00B050"/>
                  <w:tcBorders>
                    <w:left w:val="single" w:color="000000" w:sz="8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434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shd w:val="clear" w:color="auto" w:fill="00B050"/>
                    <w:tabs>
                      <w:tab w:val="left" w:pos="387" w:leader="none"/>
                    </w:tabs>
                    <w:rPr>
                      <w:color w:val="000000"/>
                      <w:highlight w:val="darkBlue"/>
                    </w:rPr>
                  </w:pPr>
                  <w:r>
                    <w:rPr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00B050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0000"/>
                      <w:highlight w:val="darkBlue"/>
                    </w:rPr>
                  </w:pPr>
                  <w:r>
                    <w:rPr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00B050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0000"/>
                      <w:highlight w:val="darkBlue"/>
                    </w:rPr>
                  </w:pPr>
                  <w:r>
                    <w:rPr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FFFFFF" w:themeFill="background1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0000"/>
                      <w:highlight w:val="darkBlue"/>
                    </w:rPr>
                  </w:pPr>
                  <w:r>
                    <w:rPr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00B050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0000"/>
                      <w:highlight w:val="darkBlue"/>
                    </w:rPr>
                  </w:pPr>
                  <w:r>
                    <w:rPr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0000"/>
                      <w:highlight w:val="darkBlue"/>
                    </w:rPr>
                  </w:pPr>
                  <w:r>
                    <w:rPr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00B050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0000"/>
                      <w:highlight w:val="darkBlue"/>
                    </w:rPr>
                  </w:pPr>
                  <w:r>
                    <w:rPr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0000"/>
                      <w:highlight w:val="darkBlue"/>
                    </w:rPr>
                  </w:pPr>
                  <w:r>
                    <w:rPr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shd w:val="clear" w:color="auto" w:fill="00B050"/>
                    <w:tabs>
                      <w:tab w:val="left" w:pos="387" w:leader="none"/>
                    </w:tabs>
                    <w:rPr>
                      <w:color w:val="000000"/>
                      <w:highlight w:val="darkBlue"/>
                    </w:rPr>
                  </w:pPr>
                  <w:r>
                    <w:rPr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8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0000"/>
                      <w:highlight w:val="darkBlue"/>
                    </w:rPr>
                  </w:pPr>
                  <w:r>
                    <w:rPr>
                      <w:color w:val="000000"/>
                      <w:highlight w:val="darkBlue"/>
                    </w:rPr>
                  </w:r>
                  <w:r/>
                </w:p>
              </w:tc>
            </w:tr>
          </w:tbl>
          <w:p>
            <w:pPr>
              <w:rPr>
                <w:color w:val="000000"/>
              </w:rPr>
            </w:pPr>
            <w:r>
              <w:rPr>
                <w:color w:val="000000"/>
              </w:rPr>
            </w:r>
            <w:r/>
          </w:p>
        </w:tc>
      </w:tr>
    </w:tbl>
    <w:p>
      <w:pPr>
        <w:rPr>
          <w:sz w:val="16"/>
          <w:szCs w:val="16"/>
        </w:rPr>
      </w:pPr>
      <w:r>
        <w:rPr>
          <w:sz w:val="16"/>
          <w:szCs w:val="16"/>
        </w:rPr>
      </w:r>
      <w:r/>
    </w:p>
    <w:tbl>
      <w:tblPr>
        <w:tblStyle w:val="655"/>
        <w:tblW w:w="10866" w:type="dxa"/>
        <w:tblInd w:w="-36" w:type="dxa"/>
        <w:tblCellMar>
          <w:left w:w="57" w:type="dxa"/>
          <w:right w:w="108" w:type="dxa"/>
        </w:tblCellMar>
        <w:tblLook w:val="0000" w:firstRow="0" w:lastRow="0" w:firstColumn="0" w:lastColumn="0" w:noHBand="0" w:noVBand="0"/>
      </w:tblPr>
      <w:tblGrid>
        <w:gridCol w:w="93"/>
        <w:gridCol w:w="2267"/>
        <w:gridCol w:w="3402"/>
        <w:gridCol w:w="5011"/>
        <w:gridCol w:w="93"/>
      </w:tblGrid>
      <w:tr>
        <w:trPr>
          <w:gridBefore w:val="1"/>
          <w:trHeight w:val="320"/>
        </w:trPr>
        <w:tc>
          <w:tcPr>
            <w:shd w:val="clear" w:color="auto" w:fill="B7DDE8"/>
            <w:tcBorders>
              <w:left w:val="single" w:color="000001" w:sz="12" w:space="0"/>
              <w:top w:val="single" w:color="000001" w:sz="12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Compétences visées</w:t>
            </w:r>
            <w:r/>
          </w:p>
        </w:tc>
        <w:tc>
          <w:tcPr>
            <w:shd w:val="clear" w:color="auto" w:fill="B7DDE8"/>
            <w:tcBorders>
              <w:left w:val="single" w:color="000001" w:sz="6" w:space="0"/>
              <w:top w:val="single" w:color="000001" w:sz="12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color w:val="000000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Critères d’évaluation</w:t>
            </w:r>
            <w:r/>
          </w:p>
        </w:tc>
        <w:tc>
          <w:tcPr>
            <w:gridSpan w:val="2"/>
            <w:shd w:val="clear" w:color="auto" w:fill="B7DDE8"/>
            <w:tcBorders>
              <w:left w:val="single" w:color="000001" w:sz="6" w:space="0"/>
              <w:top w:val="single" w:color="000001" w:sz="12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Savoirs associés</w:t>
            </w:r>
            <w:r/>
          </w:p>
        </w:tc>
      </w:tr>
      <w:tr>
        <w:trPr>
          <w:gridBefore w:val="1"/>
          <w:trHeight w:val="1075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C1.1 Collecter 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les données nécessaires à l’intervention</w:t>
            </w:r>
            <w:r/>
          </w:p>
          <w:p>
            <w:pPr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Les données techniques </w:t>
            </w:r>
            <w:r>
              <w:rPr>
                <w:rFonts w:ascii="Arial" w:hAnsi="Arial" w:cs="Arial"/>
                <w:sz w:val="18"/>
                <w:szCs w:val="18"/>
              </w:rPr>
              <w:t xml:space="preserve">nécessaires sont</w:t>
            </w:r>
            <w:r>
              <w:rPr>
                <w:rFonts w:ascii="Arial" w:hAnsi="Arial" w:cs="Arial"/>
                <w:sz w:val="18"/>
                <w:szCs w:val="18"/>
              </w:rPr>
              <w:t xml:space="preserve"> identifiées.</w:t>
            </w:r>
            <w:r/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La collecte des informations </w:t>
            </w:r>
            <w:r>
              <w:rPr>
                <w:rFonts w:ascii="Arial" w:hAnsi="Arial" w:cs="Arial"/>
                <w:sz w:val="18"/>
                <w:szCs w:val="18"/>
              </w:rPr>
              <w:t xml:space="preserve">nécessaires est</w:t>
            </w:r>
            <w:r>
              <w:rPr>
                <w:rFonts w:ascii="Arial" w:hAnsi="Arial" w:cs="Arial"/>
                <w:sz w:val="18"/>
                <w:szCs w:val="18"/>
              </w:rPr>
              <w:t xml:space="preserve"> complète et exploitable.</w:t>
            </w:r>
            <w:r/>
          </w:p>
          <w:p>
            <w:pPr>
              <w:rPr>
                <w:rFonts w:ascii="Arial" w:hAnsi="Arial" w:cs="Arial" w:eastAsia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Calibri"/>
                <w:color w:val="000000"/>
                <w:sz w:val="18"/>
                <w:szCs w:val="18"/>
              </w:rPr>
              <w:t xml:space="preserve">Les contraintes techniques et d’exécution sont identifiées</w:t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S1.1- L’entreprise</w:t>
            </w:r>
            <w:r/>
          </w:p>
          <w:p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S1.2- Les intervenants</w:t>
            </w:r>
            <w:r/>
          </w:p>
          <w:p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b/>
                <w:sz w:val="18"/>
                <w:szCs w:val="18"/>
              </w:rPr>
              <w:t xml:space="preserve">S2.1 - La réglementation énergétique et environnementale</w:t>
            </w:r>
            <w:r/>
          </w:p>
          <w:p>
            <w:pPr>
              <w:rPr>
                <w:rFonts w:ascii="Arial" w:hAnsi="Arial" w:cs="Arial" w:eastAsia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color w:val="000000"/>
                <w:sz w:val="18"/>
                <w:szCs w:val="18"/>
              </w:rPr>
            </w:r>
            <w:r/>
          </w:p>
        </w:tc>
      </w:tr>
      <w:tr>
        <w:trPr>
          <w:gridBefore w:val="1"/>
          <w:trHeight w:val="1420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C1.2 Ordonner 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les données nécessaires à l’intervention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L’ordonnancement des données permet d’identifier les informations utiles à transmettre à l’interne et à l’externe</w:t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pStyle w:val="657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</w:r>
            <w:r/>
          </w:p>
          <w:p>
            <w:pPr>
              <w:pStyle w:val="657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S1.3- Les étapes d’une intervention</w:t>
            </w:r>
            <w:r/>
          </w:p>
        </w:tc>
      </w:tr>
      <w:tr>
        <w:trPr>
          <w:gridBefore w:val="1"/>
          <w:trHeight w:val="739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C1.4 Repérer 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les contraintes d’environnement de travail liées à l’intervention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ind w:right="424"/>
              <w:widowControl w:val="off"/>
              <w:tabs>
                <w:tab w:val="left" w:pos="305" w:leader="none"/>
              </w:tabs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Les contraintes d’environnement de travail sont recensées.</w:t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S1.4- Les procédures administratives</w:t>
            </w:r>
            <w:r/>
          </w:p>
          <w:p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S1.5- Les qualifications, garanties et responsabilités</w:t>
            </w:r>
            <w:r/>
          </w:p>
        </w:tc>
      </w:tr>
      <w:tr>
        <w:trPr>
          <w:gridBefore w:val="1"/>
          <w:trHeight w:val="1073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C1.5 Vérifier 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la planification de l’intervention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ind w:right="194"/>
              <w:widowControl w:val="off"/>
              <w:tabs>
                <w:tab w:val="left" w:pos="302" w:leader="none"/>
              </w:tabs>
              <w:rPr>
                <w:rFonts w:ascii="Arial" w:hAnsi="Arial" w:cs="Arial" w:eastAsia="Arial"/>
                <w:sz w:val="18"/>
                <w:szCs w:val="18"/>
                <w:lang w:bidi="fr-FR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Les interactions avec les autres intervenants sont repérées.</w:t>
            </w:r>
            <w:r/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Les contraintes de coactivités sont repérées.</w:t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S1.5- Les qualifications, garanties et responsabilités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/>
          </w:p>
          <w:p>
            <w:pPr>
              <w:rPr>
                <w:rFonts w:ascii="Arial" w:hAnsi="Arial" w:cs="Arial" w:eastAsia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color w:val="000000"/>
                <w:sz w:val="18"/>
                <w:szCs w:val="18"/>
              </w:rPr>
            </w:r>
            <w:r/>
          </w:p>
        </w:tc>
      </w:tr>
      <w:tr>
        <w:trPr>
          <w:gridBefore w:val="1"/>
          <w:trHeight w:val="692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C2.1 Identifier 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les constituants d’un système énergétique (stockage, production, distribution, émission), de son installation électrique et de son environnement numérique (adressage, mode et paramètres de connexion et d’échanges de données)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L’organisation fonctionnelle du système est décrite</w:t>
            </w:r>
            <w:r/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Les fonctions principales de chaque élément sont identifiées</w:t>
            </w:r>
            <w:r/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Les différents éléments sont repérés sur les différentes représentations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(schémas, maquette numérique, synoptique…) et sur le système</w:t>
            </w:r>
            <w:r/>
          </w:p>
          <w:p>
            <w:pPr>
              <w:ind w:right="91"/>
              <w:spacing w:lineRule="auto" w:line="288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S3.1 - L’analyse fonctionnelle et structurelle</w:t>
            </w:r>
            <w:r/>
          </w:p>
          <w:p>
            <w:pPr>
              <w:rPr>
                <w:rFonts w:ascii="Arial" w:hAnsi="Arial" w:cs="Arial" w:eastAsia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S3.3 - L’exploitation des documents graphiques et numériques</w:t>
            </w:r>
            <w:r/>
          </w:p>
        </w:tc>
      </w:tr>
      <w:tr>
        <w:trPr>
          <w:gridBefore w:val="1"/>
          <w:trHeight w:val="1123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C2.2 Déterminer 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les caractéristiques des différents éléments de l’installation</w:t>
            </w:r>
            <w:r>
              <w:rPr>
                <w:rFonts w:ascii="Arial" w:hAnsi="Arial" w:cs="Arial"/>
                <w:b/>
                <w:sz w:val="18"/>
                <w:szCs w:val="20"/>
              </w:rPr>
              <w:t xml:space="preserve">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Les caractéristiques sont déterminées conformément aux contraintes normatives et fonctionnelles et permettent le choix des matériels et des procédures d’intervention.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La protection des personnes et des biens est assurée</w:t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S4.2 - Les circuits thermodynamiques</w:t>
            </w:r>
            <w:r/>
          </w:p>
          <w:p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S4.3 - Les installations et équipements électriques</w:t>
            </w:r>
            <w:r/>
          </w:p>
          <w:p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S4.4 - Les réseaux hydrauliques</w:t>
            </w:r>
            <w:r/>
          </w:p>
        </w:tc>
      </w:tr>
      <w:tr>
        <w:trPr>
          <w:gridBefore w:val="1"/>
          <w:trHeight w:val="1343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C2.3 Identifier 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les grandeurs physiques</w:t>
            </w:r>
            <w:r>
              <w:rPr>
                <w:rFonts w:ascii="Arial" w:hAnsi="Arial" w:cs="Arial"/>
                <w:b/>
                <w:sz w:val="18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nominales associées à l’installation (températures, pression, puissances, intensités, tensions, …)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Les grandeurs physiques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utiles sont identifiées</w:t>
            </w:r>
            <w:r/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.</w:t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S4.2 - Les circuits thermodynamiques</w:t>
            </w:r>
            <w:r/>
          </w:p>
          <w:p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S4.3 - Les installations et équipements électriques</w:t>
            </w:r>
            <w:r/>
          </w:p>
          <w:p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S4.4 - Les réseaux hydrauliques</w:t>
            </w:r>
            <w:r/>
          </w:p>
        </w:tc>
      </w:tr>
      <w:tr>
        <w:trPr>
          <w:gridBefore w:val="1"/>
          <w:trHeight w:val="1435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C2.4 Identifier 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les consignes de réglage et de sécurité spécifiques au fonctionnement de l’installation</w:t>
            </w:r>
            <w:r/>
          </w:p>
          <w:p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Les valeurs identifiées permettent de prévoir le réglage des appareils pour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un fonctionnement conforme de l’installation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La protection des personnes et des biens est assurée</w:t>
            </w:r>
            <w:r/>
          </w:p>
          <w:p>
            <w:pPr>
              <w:ind w:right="2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b/>
                <w:sz w:val="18"/>
                <w:szCs w:val="18"/>
              </w:rPr>
              <w:t xml:space="preserve">S6.2.6 - Conduite d’un système (en fonctionnement établi)</w:t>
            </w:r>
            <w:r/>
          </w:p>
          <w:p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</w:r>
            <w:r/>
          </w:p>
          <w:p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</w:r>
            <w:r/>
          </w:p>
        </w:tc>
      </w:tr>
      <w:tr>
        <w:trPr>
          <w:gridBefore w:val="1"/>
          <w:trHeight w:val="1831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12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C2.5 Représenter 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tout ou partie d’une installation, manuellement ou avec un outil numérique</w:t>
            </w:r>
            <w:r>
              <w:rPr>
                <w:rFonts w:ascii="Arial" w:hAnsi="Arial" w:cs="Arial"/>
                <w:b/>
                <w:sz w:val="18"/>
                <w:szCs w:val="20"/>
              </w:rPr>
              <w:t xml:space="preserve"> </w:t>
            </w:r>
            <w:r/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12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Les schémas fluidiques et électriques et/ou les croquis sont exploitables</w:t>
            </w:r>
            <w:r/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Les conventions de représentation sont respectées</w:t>
            </w:r>
            <w:r/>
          </w:p>
          <w:p>
            <w:pPr>
              <w:ind w:right="113"/>
              <w:widowControl w:val="off"/>
              <w:tabs>
                <w:tab w:val="left" w:pos="305" w:leader="none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.</w:t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12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S3.4.2 - Les dessins d’exécution et de mise en œuvre </w:t>
            </w:r>
            <w:r/>
          </w:p>
          <w:p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S3.5.2 - Les circuits électriques industriels</w:t>
            </w:r>
            <w:r/>
          </w:p>
        </w:tc>
      </w:tr>
      <w:tr>
        <w:trPr>
          <w:gridBefore w:val="1"/>
          <w:trHeight w:val="1831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12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C2.6 Identifier 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les connexions électriques et les raccordements fluidiques d’une installation</w:t>
            </w:r>
            <w:r>
              <w:rPr>
                <w:rFonts w:ascii="Arial" w:hAnsi="Arial" w:cs="Arial"/>
                <w:b/>
                <w:sz w:val="18"/>
                <w:szCs w:val="20"/>
              </w:rPr>
              <w:t xml:space="preserve"> </w:t>
            </w:r>
            <w:r/>
          </w:p>
          <w:p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12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ind w:left="29"/>
              <w:spacing w:before="1"/>
              <w:widowControl w:val="off"/>
              <w:rPr>
                <w:rFonts w:ascii="Arial" w:hAnsi="Arial" w:cs="Arial" w:eastAsia="Arial"/>
                <w:sz w:val="18"/>
                <w:szCs w:val="18"/>
                <w:lang w:bidi="fr-FR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Les éléments électriques</w:t>
            </w: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 </w:t>
            </w: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raccordés ou à raccorder,</w:t>
            </w: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 </w:t>
            </w: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le type et la section des</w:t>
            </w: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 </w:t>
            </w: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conducteurs sont identifiés</w:t>
            </w: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 </w:t>
            </w: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ainsi que leurs repérages</w:t>
            </w:r>
            <w:r/>
          </w:p>
          <w:p>
            <w:pPr>
              <w:ind w:left="29"/>
              <w:spacing w:before="1"/>
              <w:widowControl w:val="off"/>
              <w:rPr>
                <w:rFonts w:ascii="Arial" w:hAnsi="Arial" w:cs="Arial" w:eastAsia="Arial"/>
                <w:sz w:val="18"/>
                <w:szCs w:val="18"/>
                <w:lang w:bidi="fr-FR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Les éléments fluidiques</w:t>
            </w: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 </w:t>
            </w: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raccordés ou à raccorder,</w:t>
            </w: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 </w:t>
            </w: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le type et le diamètre des</w:t>
            </w: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 </w:t>
            </w: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réseaux sont identifiés et</w:t>
            </w: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 </w:t>
            </w: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repérés</w:t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12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b/>
                <w:sz w:val="18"/>
                <w:szCs w:val="18"/>
              </w:rPr>
              <w:t xml:space="preserve">S3.4 -L’élaboration de plans et de schémas fluidiques</w:t>
            </w:r>
            <w:r/>
          </w:p>
          <w:p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b/>
                <w:sz w:val="18"/>
                <w:szCs w:val="18"/>
              </w:rPr>
              <w:t xml:space="preserve">S3.5 - L’élaboration de schémas électriques</w:t>
            </w:r>
            <w:r/>
          </w:p>
          <w:p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</w:r>
            <w:r/>
          </w:p>
        </w:tc>
      </w:tr>
      <w:tr>
        <w:trPr>
          <w:gridBefore w:val="1"/>
          <w:trHeight w:val="1831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12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C3.1 Déterminer 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les matériels, les produits et les outillages nécessaires à la réalisation de son intervention</w:t>
            </w:r>
            <w:r/>
          </w:p>
          <w:p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12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La liste des équipements, des matériels, des outillages et des produits nécessaires à l’opération est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communiquée à l’interne et à l’externe</w:t>
            </w:r>
            <w:r/>
          </w:p>
          <w:p>
            <w:pPr>
              <w:ind w:left="29"/>
              <w:spacing w:before="1"/>
              <w:widowControl w:val="off"/>
              <w:rPr>
                <w:rFonts w:ascii="Arial" w:hAnsi="Arial" w:cs="Arial" w:eastAsia="Arial"/>
                <w:sz w:val="18"/>
                <w:szCs w:val="18"/>
                <w:lang w:bidi="fr-FR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12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rPr>
                <w:rStyle w:val="660"/>
                <w:rFonts w:ascii="Arial" w:hAnsi="Arial" w:cs="Arial"/>
                <w:b/>
                <w:color w:val="00000A"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b/>
                <w:sz w:val="18"/>
                <w:szCs w:val="18"/>
              </w:rPr>
              <w:t xml:space="preserve">S6.2.1 - Modes opératoires et procédures</w:t>
            </w:r>
            <w:r/>
          </w:p>
          <w:p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b/>
                <w:sz w:val="18"/>
                <w:szCs w:val="18"/>
              </w:rPr>
              <w:t xml:space="preserve">S6.2.3 - Intervention sur un système</w:t>
            </w:r>
            <w:r/>
          </w:p>
          <w:p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</w:r>
            <w:r/>
          </w:p>
        </w:tc>
      </w:tr>
      <w:tr>
        <w:trPr>
          <w:gridBefore w:val="1"/>
          <w:trHeight w:val="1831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12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C3.2 Choisir 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les EPC, les EPI et les EIS adaptés à l’intervention</w:t>
            </w:r>
            <w:r/>
          </w:p>
          <w:p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12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ind w:left="29"/>
              <w:spacing w:before="1"/>
              <w:widowControl w:val="off"/>
              <w:rPr>
                <w:rFonts w:ascii="Arial" w:hAnsi="Arial" w:cs="Arial" w:eastAsia="Arial"/>
                <w:sz w:val="18"/>
                <w:szCs w:val="18"/>
                <w:lang w:bidi="fr-FR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L’inventaire des EPC, des EPI et des EIS est complet et adapté à l’intervention</w:t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12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S1.5- Les qualifications, garanties et responsabilités</w:t>
            </w:r>
            <w:r/>
          </w:p>
        </w:tc>
      </w:tr>
      <w:tr>
        <w:trPr>
          <w:gridAfter w:val="1"/>
          <w:trHeight w:val="305"/>
        </w:trPr>
        <w:tc>
          <w:tcPr>
            <w:gridSpan w:val="4"/>
            <w:shd w:val="clear" w:color="auto" w:fill="B7DDE8"/>
            <w:tcBorders>
              <w:left w:val="single" w:color="000000" w:sz="12" w:space="0"/>
              <w:top w:val="single" w:color="000000" w:sz="12" w:space="0"/>
              <w:right w:val="single" w:color="000000" w:sz="12" w:space="0"/>
              <w:bottom w:val="single" w:color="000000" w:sz="12" w:space="0"/>
            </w:tcBorders>
            <w:tcW w:w="10773" w:type="dxa"/>
            <w:vAlign w:val="center"/>
            <w:textDirection w:val="lrTb"/>
            <w:noWrap w:val="false"/>
          </w:tcPr>
          <w:p>
            <w:pPr>
              <w:jc w:val="center"/>
              <w:pageBreakBefore/>
              <w:rPr>
                <w:rFonts w:ascii="Calibri" w:hAnsi="Calibri" w:cs="Calibri" w:eastAsia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Prérequis des élèves</w:t>
            </w:r>
            <w:r/>
          </w:p>
        </w:tc>
      </w:tr>
      <w:tr>
        <w:trPr>
          <w:gridAfter w:val="1"/>
          <w:trHeight w:val="649"/>
        </w:trPr>
        <w:tc>
          <w:tcPr>
            <w:gridSpan w:val="4"/>
            <w:shd w:val="clear" w:color="auto" w:fill="auto"/>
            <w:tcBorders>
              <w:left w:val="single" w:color="000001" w:sz="12" w:space="0"/>
              <w:top w:val="single" w:color="000000" w:sz="12" w:space="0"/>
              <w:right w:val="single" w:color="000001" w:sz="12" w:space="0"/>
              <w:bottom w:val="single" w:color="000001" w:sz="12" w:space="0"/>
            </w:tcBorders>
            <w:tcW w:w="1077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Connaissance du projet</w:t>
            </w:r>
            <w:r/>
          </w:p>
          <w:p>
            <w:pPr>
              <w:jc w:val="center"/>
              <w:rPr>
                <w:rFonts w:ascii="Calibri" w:hAnsi="Calibri" w:cs="Calibri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Manipulation de la maquette numérique</w:t>
            </w:r>
            <w:r/>
          </w:p>
          <w:p>
            <w:pPr>
              <w:jc w:val="center"/>
              <w:rPr>
                <w:rFonts w:ascii="Calibri" w:hAnsi="Calibri" w:cs="Calibri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Avoir réalisé et validé la séquence 1</w:t>
            </w:r>
            <w:r/>
          </w:p>
        </w:tc>
      </w:tr>
    </w:tbl>
    <w:p>
      <w:r/>
      <w:r/>
    </w:p>
    <w:tbl>
      <w:tblPr>
        <w:tblStyle w:val="655"/>
        <w:tblW w:w="10773" w:type="dxa"/>
        <w:tblInd w:w="15" w:type="dxa"/>
        <w:tblCellMar>
          <w:left w:w="108" w:type="dxa"/>
          <w:right w:w="108" w:type="dxa"/>
        </w:tblCellMar>
        <w:tblLook w:val="0000" w:firstRow="0" w:lastRow="0" w:firstColumn="0" w:lastColumn="0" w:noHBand="0" w:noVBand="0"/>
      </w:tblPr>
      <w:tblGrid>
        <w:gridCol w:w="5103"/>
        <w:gridCol w:w="5670"/>
      </w:tblGrid>
      <w:tr>
        <w:trPr>
          <w:trHeight w:val="410"/>
        </w:trPr>
        <w:tc>
          <w:tcPr>
            <w:gridSpan w:val="2"/>
            <w:shd w:val="clear" w:color="auto" w:fill="B7DDE8"/>
            <w:tcBorders>
              <w:left w:val="single" w:color="000001" w:sz="12" w:space="0"/>
              <w:top w:val="single" w:color="000001" w:sz="12" w:space="0"/>
              <w:right w:val="single" w:color="000001" w:sz="12" w:space="0"/>
              <w:bottom w:val="single" w:color="000001" w:sz="6" w:space="0"/>
            </w:tcBorders>
            <w:tcW w:w="10772" w:type="dxa"/>
            <w:vAlign w:val="center"/>
            <w:textDirection w:val="lrTb"/>
            <w:noWrap w:val="false"/>
          </w:tcPr>
          <w:p>
            <w:pPr>
              <w:ind w:left="360"/>
              <w:jc w:val="center"/>
              <w:rPr>
                <w:rFonts w:ascii="Calibri" w:hAnsi="Calibri" w:cs="Calibri" w:eastAsia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Présentation du contexte professionnel</w:t>
            </w:r>
            <w:r/>
          </w:p>
        </w:tc>
      </w:tr>
      <w:tr>
        <w:trPr>
          <w:trHeight w:val="520"/>
        </w:trPr>
        <w:tc>
          <w:tcPr>
            <w:gridSpan w:val="2"/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10772" w:type="dxa"/>
            <w:vAlign w:val="center"/>
            <w:textDirection w:val="lrTb"/>
            <w:noWrap w:val="false"/>
          </w:tcPr>
          <w:p>
            <w:pPr>
              <w:pStyle w:val="575"/>
              <w:numPr>
                <w:ilvl w:val="0"/>
                <w:numId w:val="2"/>
              </w:numPr>
              <w:ind w:left="283"/>
              <w:jc w:val="center"/>
              <w:spacing w:after="40"/>
              <w:tabs>
                <w:tab w:val="left" w:pos="0" w:leader="none"/>
              </w:tabs>
              <w:rPr>
                <w:rFonts w:ascii="Calibri" w:hAnsi="Calibri" w:cs="Calibri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Préparer deux interventions : </w:t>
            </w:r>
            <w:r/>
          </w:p>
          <w:p>
            <w:pPr>
              <w:pStyle w:val="575"/>
              <w:numPr>
                <w:ilvl w:val="0"/>
                <w:numId w:val="2"/>
              </w:numPr>
              <w:ind w:left="283"/>
              <w:jc w:val="center"/>
              <w:spacing w:after="40"/>
              <w:tabs>
                <w:tab w:val="left" w:pos="0" w:leader="none"/>
              </w:tabs>
              <w:rPr>
                <w:rFonts w:ascii="Calibri" w:hAnsi="Calibri" w:cs="Calibri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1- Prémise en service pour assurer le séchage d’une dalle plancher chauffant</w:t>
            </w:r>
            <w:r/>
          </w:p>
          <w:p>
            <w:pPr>
              <w:pStyle w:val="575"/>
              <w:numPr>
                <w:ilvl w:val="0"/>
                <w:numId w:val="2"/>
              </w:numPr>
              <w:ind w:left="283"/>
              <w:jc w:val="center"/>
              <w:spacing w:after="40"/>
              <w:tabs>
                <w:tab w:val="left" w:pos="0" w:leader="none"/>
              </w:tabs>
              <w:rPr>
                <w:rFonts w:ascii="Calibri" w:hAnsi="Calibri" w:cs="Calibri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2-Mise en service de l’installation PAC hybride PECS sur un réseau radiateurs et un réseau plancher chauffant</w:t>
            </w: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.</w:t>
            </w:r>
            <w:r/>
          </w:p>
        </w:tc>
      </w:tr>
      <w:tr>
        <w:trPr>
          <w:trHeight w:val="296"/>
        </w:trPr>
        <w:tc>
          <w:tcPr>
            <w:gridSpan w:val="2"/>
            <w:shd w:val="clear" w:color="auto" w:fill="B7DDE8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1077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Éléments à retenir</w:t>
            </w:r>
            <w:r/>
          </w:p>
        </w:tc>
      </w:tr>
      <w:tr>
        <w:trPr>
          <w:trHeight w:val="580"/>
        </w:trPr>
        <w:tc>
          <w:tcPr>
            <w:gridSpan w:val="2"/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10772" w:type="dxa"/>
            <w:textDirection w:val="lrTb"/>
            <w:noWrap w:val="false"/>
          </w:tcPr>
          <w:p>
            <w:pPr>
              <w:jc w:val="center"/>
              <w:spacing w:lineRule="auto" w:line="276"/>
              <w:widowControl w:val="off"/>
              <w:rPr>
                <w:rFonts w:ascii="Calibri" w:hAnsi="Calibri" w:cs="Arial" w:eastAsia="Arial"/>
                <w:color w:val="000000"/>
                <w:sz w:val="18"/>
                <w:szCs w:val="16"/>
                <w:u w:val="single"/>
              </w:rPr>
            </w:pPr>
            <w:r>
              <w:rPr>
                <w:rFonts w:ascii="Calibri" w:hAnsi="Calibri" w:cs="Arial" w:eastAsia="Arial"/>
                <w:color w:val="000000"/>
                <w:sz w:val="18"/>
                <w:szCs w:val="16"/>
                <w:u w:val="single"/>
              </w:rPr>
              <w:t xml:space="preserve">A l’issue de la séquence, l’élève sera capable de :</w:t>
            </w:r>
            <w:r/>
          </w:p>
          <w:p>
            <w:pPr>
              <w:numPr>
                <w:ilvl w:val="0"/>
                <w:numId w:val="1"/>
              </w:numPr>
              <w:contextualSpacing w:val="true"/>
              <w:spacing w:lineRule="auto" w:line="276"/>
              <w:widowControl w:val="off"/>
              <w:rPr>
                <w:rFonts w:ascii="Calibri" w:hAnsi="Calibri" w:cs="Arial" w:eastAsia="Arial"/>
                <w:color w:val="000000"/>
                <w:sz w:val="16"/>
                <w:szCs w:val="16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Localiser le lieu de son intervention</w:t>
            </w:r>
            <w:r/>
          </w:p>
          <w:p>
            <w:pPr>
              <w:numPr>
                <w:ilvl w:val="0"/>
                <w:numId w:val="1"/>
              </w:numPr>
              <w:contextualSpacing w:val="true"/>
              <w:spacing w:lineRule="auto" w:line="276"/>
              <w:widowControl w:val="off"/>
              <w:rPr>
                <w:rFonts w:ascii="Calibri" w:hAnsi="Calibri" w:cs="Arial" w:eastAsia="Arial"/>
                <w:color w:val="000000"/>
                <w:sz w:val="16"/>
                <w:szCs w:val="16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Identifier les données nécessaires </w:t>
            </w: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à ses interventions</w:t>
            </w:r>
            <w:r/>
          </w:p>
          <w:p>
            <w:pPr>
              <w:numPr>
                <w:ilvl w:val="0"/>
                <w:numId w:val="1"/>
              </w:numPr>
              <w:contextualSpacing w:val="true"/>
              <w:spacing w:lineRule="auto" w:line="276"/>
              <w:widowControl w:val="off"/>
              <w:rPr>
                <w:rFonts w:ascii="Calibri" w:hAnsi="Calibri" w:cs="Arial" w:eastAsia="Arial"/>
                <w:color w:val="000000"/>
                <w:sz w:val="16"/>
                <w:szCs w:val="16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Lister des matériels, équipements et outillages nécessaires pour réaliser s</w:t>
            </w: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es</w:t>
            </w: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 intervention</w:t>
            </w: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s</w:t>
            </w:r>
            <w:r/>
          </w:p>
          <w:p>
            <w:pPr>
              <w:numPr>
                <w:ilvl w:val="0"/>
                <w:numId w:val="1"/>
              </w:numPr>
              <w:contextualSpacing w:val="true"/>
              <w:spacing w:lineRule="auto" w:line="276"/>
              <w:widowControl w:val="off"/>
              <w:rPr>
                <w:rFonts w:ascii="Calibri" w:hAnsi="Calibri" w:cs="Calibri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Analyser et exploiter les données techniques d’une installation</w:t>
            </w:r>
            <w:r/>
          </w:p>
          <w:p>
            <w:pPr>
              <w:numPr>
                <w:ilvl w:val="0"/>
                <w:numId w:val="1"/>
              </w:numPr>
              <w:contextualSpacing w:val="true"/>
              <w:spacing w:lineRule="auto" w:line="276"/>
              <w:widowControl w:val="off"/>
              <w:rPr>
                <w:rFonts w:ascii="Calibri" w:hAnsi="Calibri" w:cs="Calibri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Analyser les risques relatifs aux opérations à</w:t>
            </w: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réaliser</w:t>
            </w:r>
            <w:r/>
          </w:p>
          <w:p>
            <w:pPr>
              <w:numPr>
                <w:ilvl w:val="0"/>
                <w:numId w:val="1"/>
              </w:numPr>
              <w:contextualSpacing w:val="true"/>
              <w:spacing w:lineRule="auto" w:line="276"/>
              <w:widowControl w:val="off"/>
              <w:rPr>
                <w:rFonts w:ascii="Calibri" w:hAnsi="Calibri" w:cs="Calibri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Choisir les matériels, équipements et</w:t>
            </w: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outillages nécessaires aux opérations à</w:t>
            </w: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réaliser</w:t>
            </w:r>
            <w:r/>
          </w:p>
          <w:p>
            <w:pPr>
              <w:numPr>
                <w:ilvl w:val="0"/>
                <w:numId w:val="1"/>
              </w:numPr>
              <w:contextualSpacing w:val="true"/>
              <w:spacing w:lineRule="auto" w:line="276"/>
              <w:widowControl w:val="off"/>
              <w:rPr>
                <w:rFonts w:ascii="Calibri" w:hAnsi="Calibri" w:cs="Calibri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Prendre connaissance des tâches en fonction des habilitations, des</w:t>
            </w: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certifications des équipiers et du planning des autres intervenants</w:t>
            </w:r>
            <w:r/>
          </w:p>
          <w:p>
            <w:pPr>
              <w:numPr>
                <w:ilvl w:val="0"/>
                <w:numId w:val="1"/>
              </w:numPr>
              <w:contextualSpacing w:val="true"/>
              <w:spacing w:lineRule="auto" w:line="276"/>
              <w:widowControl w:val="off"/>
              <w:rPr>
                <w:rFonts w:ascii="Calibri" w:hAnsi="Calibri" w:cs="Arial" w:eastAsia="Arial"/>
                <w:color w:val="000000"/>
                <w:sz w:val="16"/>
                <w:szCs w:val="16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Modifier </w:t>
            </w: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et compléter </w:t>
            </w: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des documents</w:t>
            </w:r>
            <w:r/>
          </w:p>
        </w:tc>
      </w:tr>
      <w:tr>
        <w:trPr>
          <w:trHeight w:val="440"/>
        </w:trPr>
        <w:tc>
          <w:tcPr>
            <w:shd w:val="clear" w:color="auto" w:fill="B7DDE8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W w:w="51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Liens avec les autres disciplines</w:t>
            </w:r>
            <w:r/>
          </w:p>
        </w:tc>
        <w:tc>
          <w:tcPr>
            <w:shd w:val="clear" w:color="auto" w:fill="B7DDE8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56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Modalités d’évaluation</w:t>
            </w:r>
            <w:r/>
          </w:p>
        </w:tc>
      </w:tr>
      <w:tr>
        <w:trPr>
          <w:trHeight w:val="590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12" w:space="0"/>
            </w:tcBorders>
            <w:tcW w:w="51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Enseignement du français : maîtrise de l’écrit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12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5669" w:type="dxa"/>
            <w:textDirection w:val="lrTb"/>
            <w:noWrap w:val="false"/>
          </w:tcPr>
          <w:p>
            <w:pPr>
              <w:jc w:val="both"/>
              <w:rPr>
                <w:rFonts w:ascii="Calibri" w:hAnsi="Calibri" w:cs="Calibri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</w:r>
            <w:r/>
          </w:p>
          <w:p>
            <w:pPr>
              <w:jc w:val="center"/>
              <w:rPr>
                <w:rFonts w:ascii="Calibri" w:hAnsi="Calibri" w:cs="Calibri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Évaluation formative</w:t>
            </w:r>
            <w:r/>
          </w:p>
        </w:tc>
      </w:tr>
    </w:tbl>
    <w:p>
      <w:r/>
      <w:r/>
    </w:p>
    <w:tbl>
      <w:tblPr>
        <w:tblStyle w:val="655"/>
        <w:tblW w:w="10773" w:type="dxa"/>
        <w:tblInd w:w="15" w:type="dxa"/>
        <w:tblCellMar>
          <w:left w:w="108" w:type="dxa"/>
          <w:right w:w="108" w:type="dxa"/>
        </w:tblCellMar>
        <w:tblLook w:val="0000" w:firstRow="0" w:lastRow="0" w:firstColumn="0" w:lastColumn="0" w:noHBand="0" w:noVBand="0"/>
      </w:tblPr>
      <w:tblGrid>
        <w:gridCol w:w="2409"/>
        <w:gridCol w:w="1701"/>
        <w:gridCol w:w="1702"/>
        <w:gridCol w:w="2125"/>
        <w:gridCol w:w="2836"/>
      </w:tblGrid>
      <w:tr>
        <w:trPr>
          <w:trHeight w:val="389"/>
        </w:trPr>
        <w:tc>
          <w:tcPr>
            <w:gridSpan w:val="5"/>
            <w:shd w:val="clear" w:color="auto" w:fill="B7DDE8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1077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Déroulement de la séquence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Questionnement pour mettre en réflexion les élèves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Démarche Pédagogique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Activités élèves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21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Ressources – Matériels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Conclusion - Bilan</w:t>
            </w:r>
            <w:r/>
          </w:p>
        </w:tc>
      </w:tr>
      <w:tr>
        <w:trPr>
          <w:trHeight w:val="1526"/>
        </w:trPr>
        <w:tc>
          <w:tcPr>
            <w:shd w:val="clear" w:color="auto" w:fill="FFFFFF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Où se situent les </w:t>
            </w: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interventions ?</w:t>
            </w:r>
            <w:r/>
          </w:p>
        </w:tc>
        <w:tc>
          <w:tcPr>
            <w:shd w:val="clear" w:color="auto" w:fill="FFFFFF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ind w:left="93"/>
              <w:jc w:val="center"/>
              <w:rPr>
                <w:rFonts w:ascii="Calibri" w:hAnsi="Calibri" w:cs="Calibri"/>
                <w:color w:val="auto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Démarche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d’investigation</w:t>
            </w:r>
            <w:r/>
          </w:p>
        </w:tc>
        <w:tc>
          <w:tcPr>
            <w:shd w:val="clear" w:color="auto" w:fill="FFFFFF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702" w:type="dxa"/>
            <w:vAlign w:val="center"/>
            <w:vMerge w:val="restart"/>
            <w:textDirection w:val="lrTb"/>
            <w:noWrap w:val="false"/>
          </w:tcPr>
          <w:p>
            <w:pPr>
              <w:ind w:left="13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sz w:val="18"/>
              </w:rPr>
              <w:t xml:space="preserve">A partir de la maquette BIM ARCHI et BIM PLO identifier l’emplacement </w:t>
            </w:r>
            <w:r>
              <w:rPr>
                <w:rFonts w:ascii="Calibri" w:hAnsi="Calibri" w:cs="Calibri" w:eastAsia="Arial"/>
                <w:sz w:val="18"/>
              </w:rPr>
              <w:t xml:space="preserve">de l’intervention</w:t>
            </w:r>
            <w:r>
              <w:rPr>
                <w:rFonts w:ascii="Calibri" w:hAnsi="Calibri" w:cs="Calibri" w:eastAsia="Arial"/>
                <w:sz w:val="18"/>
              </w:rPr>
              <w:t xml:space="preserve">.</w:t>
            </w:r>
            <w:r/>
          </w:p>
        </w:tc>
        <w:tc>
          <w:tcPr>
            <w:shd w:val="clear" w:color="auto" w:fill="FFFFFF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2125" w:type="dxa"/>
            <w:vAlign w:val="center"/>
            <w:vMerge w:val="restart"/>
            <w:textDirection w:val="lrTb"/>
            <w:noWrap w:val="false"/>
          </w:tcPr>
          <w:p>
            <w:pPr>
              <w:ind w:left="13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Ressource numérique</w:t>
            </w:r>
            <w:r/>
          </w:p>
          <w:p>
            <w:pPr>
              <w:ind w:left="13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36" w:type="dxa"/>
            <w:vAlign w:val="center"/>
            <w:vMerge w:val="restart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Les lieux d’intervention sont identifiés, l’élève situe </w:t>
            </w: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l’action.</w:t>
            </w:r>
            <w:r/>
          </w:p>
        </w:tc>
      </w:tr>
      <w:tr>
        <w:trPr>
          <w:trHeight w:val="1778"/>
        </w:trPr>
        <w:tc>
          <w:tcPr>
            <w:shd w:val="clear" w:color="auto" w:fill="FFFFFF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Quelles sont les contraintes liées à l’intervention ?</w:t>
            </w:r>
            <w:r/>
          </w:p>
        </w:tc>
        <w:tc>
          <w:tcPr>
            <w:shd w:val="clear" w:color="auto" w:fill="FFFFFF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ind w:left="93"/>
              <w:jc w:val="center"/>
              <w:rPr>
                <w:rFonts w:ascii="Calibri" w:hAnsi="Calibri" w:cs="Calibri"/>
                <w:color w:val="auto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Démarche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d’investigation</w:t>
            </w:r>
            <w:r/>
          </w:p>
          <w:p>
            <w:pPr>
              <w:ind w:left="93"/>
              <w:jc w:val="center"/>
              <w:rPr>
                <w:rFonts w:ascii="Calibri" w:hAnsi="Calibri" w:cs="Calibri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702" w:type="dxa"/>
            <w:vAlign w:val="center"/>
            <w:vMerge w:val="restart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sz w:val="18"/>
              </w:rPr>
              <w:t xml:space="preserve">Identifier les tâches des autres intervenants </w:t>
            </w:r>
            <w:r>
              <w:rPr>
                <w:rFonts w:ascii="Calibri" w:hAnsi="Calibri" w:cs="Calibri" w:eastAsia="Arial"/>
                <w:sz w:val="18"/>
              </w:rPr>
              <w:t xml:space="preserve">pour situer ses interventions sur le planning</w:t>
            </w:r>
            <w:r>
              <w:rPr>
                <w:rFonts w:ascii="Calibri" w:hAnsi="Calibri" w:cs="Calibri" w:eastAsia="Arial"/>
                <w:sz w:val="18"/>
              </w:rPr>
              <w:t xml:space="preserve">.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sz w:val="18"/>
              </w:rPr>
            </w:pPr>
            <w:r>
              <w:rPr>
                <w:rFonts w:ascii="Calibri" w:hAnsi="Calibri" w:cs="Calibri" w:eastAsia="Arial"/>
                <w:sz w:val="18"/>
              </w:rPr>
              <w:t xml:space="preserve">Identifier </w:t>
            </w:r>
            <w:r>
              <w:rPr>
                <w:rFonts w:ascii="Calibri" w:hAnsi="Calibri" w:cs="Calibri" w:eastAsia="Arial"/>
                <w:sz w:val="18"/>
              </w:rPr>
              <w:t xml:space="preserve">les contraintes</w:t>
            </w:r>
            <w:r>
              <w:rPr>
                <w:rFonts w:ascii="Calibri" w:hAnsi="Calibri" w:cs="Calibri" w:eastAsia="Arial"/>
                <w:sz w:val="18"/>
              </w:rPr>
              <w:t xml:space="preserve"> </w:t>
            </w:r>
            <w:r>
              <w:rPr>
                <w:rFonts w:ascii="Calibri" w:hAnsi="Calibri" w:cs="Calibri" w:eastAsia="Arial"/>
                <w:sz w:val="18"/>
              </w:rPr>
              <w:t xml:space="preserve">techniques et </w:t>
            </w:r>
            <w:r>
              <w:rPr>
                <w:rFonts w:ascii="Calibri" w:hAnsi="Calibri" w:cs="Calibri" w:eastAsia="Arial"/>
                <w:sz w:val="18"/>
              </w:rPr>
              <w:t xml:space="preserve">réglementaires.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2125" w:type="dxa"/>
            <w:vAlign w:val="center"/>
            <w:vMerge w:val="restart"/>
            <w:textDirection w:val="lrTb"/>
            <w:noWrap w:val="false"/>
          </w:tcPr>
          <w:p>
            <w:pPr>
              <w:ind w:left="132"/>
              <w:rPr>
                <w:rFonts w:ascii="Calibri" w:hAnsi="Calibri" w:cs="Calibri" w:eastAsia="Arial"/>
                <w:color w:val="auto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Ressource numérique</w:t>
            </w:r>
            <w:r/>
          </w:p>
          <w:p>
            <w:pPr>
              <w:ind w:left="132"/>
              <w:rPr>
                <w:rFonts w:ascii="Calibri" w:hAnsi="Calibri" w:cs="Calibri" w:eastAsia="Arial"/>
                <w:color w:val="auto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Plan du bâtiment</w:t>
            </w:r>
            <w:r/>
          </w:p>
          <w:p>
            <w:pPr>
              <w:ind w:left="132"/>
              <w:rPr>
                <w:rFonts w:ascii="Calibri" w:hAnsi="Calibri" w:cs="Calibri" w:eastAsia="Arial"/>
                <w:color w:val="auto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Schéma de principe</w:t>
            </w:r>
            <w:r/>
          </w:p>
          <w:p>
            <w:pPr>
              <w:ind w:left="132"/>
              <w:rPr>
                <w:rFonts w:ascii="Calibri" w:hAnsi="Calibri" w:cs="Calibri" w:eastAsia="Arial"/>
                <w:color w:val="auto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Schéma électrique</w:t>
            </w:r>
            <w:r/>
          </w:p>
          <w:p>
            <w:pPr>
              <w:ind w:left="132"/>
              <w:rPr>
                <w:rFonts w:ascii="Calibri" w:hAnsi="Calibri" w:cs="Calibri" w:eastAsia="Arial"/>
                <w:color w:val="auto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Documentation constructeur</w:t>
            </w:r>
            <w:r/>
          </w:p>
        </w:tc>
        <w:tc>
          <w:tcPr>
            <w:shd w:val="clear" w:color="auto" w:fill="FFFFFF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36" w:type="dxa"/>
            <w:vAlign w:val="center"/>
            <w:vMerge w:val="restart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Les réglementations et les normes </w:t>
            </w: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y compris </w:t>
            </w: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Feebat rénovation sont prise en compte par l’élève.</w:t>
            </w:r>
            <w:r/>
          </w:p>
        </w:tc>
      </w:tr>
      <w:tr>
        <w:trPr>
          <w:trHeight w:val="1511"/>
        </w:trPr>
        <w:tc>
          <w:tcPr>
            <w:shd w:val="clear" w:color="auto" w:fill="FFFFFF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Quels </w:t>
            </w: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équipements,</w:t>
            </w: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 certifications et outils</w:t>
            </w: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 nécessaires pour réaliser l</w:t>
            </w: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es interventions ?</w:t>
            </w:r>
            <w:r/>
          </w:p>
        </w:tc>
        <w:tc>
          <w:tcPr>
            <w:shd w:val="clear" w:color="auto" w:fill="FFFFFF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ind w:left="65"/>
              <w:rPr>
                <w:rFonts w:ascii="Calibri" w:hAnsi="Calibri" w:cs="Calibri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Travail de recherche en groupe</w:t>
            </w:r>
            <w:r/>
          </w:p>
        </w:tc>
        <w:tc>
          <w:tcPr>
            <w:shd w:val="clear" w:color="auto" w:fill="FFFFFF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702" w:type="dxa"/>
            <w:vAlign w:val="center"/>
            <w:vMerge w:val="restart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sz w:val="18"/>
              </w:rPr>
              <w:t xml:space="preserve">Déterminer les </w:t>
            </w:r>
            <w:r>
              <w:rPr>
                <w:rFonts w:ascii="Calibri" w:hAnsi="Calibri" w:cs="Calibri" w:eastAsia="Arial"/>
                <w:sz w:val="18"/>
              </w:rPr>
              <w:t xml:space="preserve">outils</w:t>
            </w:r>
            <w:r>
              <w:rPr>
                <w:rFonts w:ascii="Calibri" w:hAnsi="Calibri" w:cs="Calibri" w:eastAsia="Arial"/>
                <w:sz w:val="18"/>
              </w:rPr>
              <w:t xml:space="preserve"> nécessaires au</w:t>
            </w:r>
            <w:r>
              <w:rPr>
                <w:rFonts w:ascii="Calibri" w:hAnsi="Calibri" w:cs="Calibri" w:eastAsia="Arial"/>
                <w:sz w:val="18"/>
              </w:rPr>
              <w:t xml:space="preserve">x deux interventions</w:t>
            </w:r>
            <w:r/>
          </w:p>
        </w:tc>
        <w:tc>
          <w:tcPr>
            <w:shd w:val="clear" w:color="auto" w:fill="FFFFFF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2125" w:type="dxa"/>
            <w:vAlign w:val="center"/>
            <w:vMerge w:val="restart"/>
            <w:textDirection w:val="lrTb"/>
            <w:noWrap w:val="false"/>
          </w:tcPr>
          <w:p>
            <w:pPr>
              <w:ind w:left="132"/>
              <w:rPr>
                <w:rFonts w:ascii="Calibri" w:hAnsi="Calibri" w:cs="Calibri" w:eastAsia="Arial"/>
                <w:color w:val="auto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Ressource numérique</w:t>
            </w:r>
            <w:r/>
          </w:p>
          <w:p>
            <w:pPr>
              <w:ind w:left="132"/>
              <w:rPr>
                <w:rFonts w:ascii="Calibri" w:hAnsi="Calibri" w:cs="Calibri" w:eastAsia="Arial"/>
                <w:color w:val="auto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Plan du bâtiment</w:t>
            </w:r>
            <w:r/>
          </w:p>
          <w:p>
            <w:pPr>
              <w:ind w:left="132"/>
              <w:rPr>
                <w:rFonts w:ascii="Calibri" w:hAnsi="Calibri" w:cs="Calibri" w:eastAsia="Arial"/>
                <w:color w:val="auto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Schéma de principe</w:t>
            </w:r>
            <w:r/>
          </w:p>
          <w:p>
            <w:pPr>
              <w:ind w:left="132"/>
              <w:rPr>
                <w:rFonts w:ascii="Calibri" w:hAnsi="Calibri" w:cs="Calibri" w:eastAsia="Arial"/>
                <w:color w:val="auto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Schéma électrique</w:t>
            </w:r>
            <w:r/>
          </w:p>
          <w:p>
            <w:pPr>
              <w:ind w:left="132"/>
              <w:rPr>
                <w:rFonts w:ascii="Calibri" w:hAnsi="Calibri" w:cs="Calibri" w:eastAsia="Arial"/>
                <w:color w:val="auto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Documentation constructeur</w:t>
            </w:r>
            <w:r/>
          </w:p>
        </w:tc>
        <w:tc>
          <w:tcPr>
            <w:shd w:val="clear" w:color="auto" w:fill="FFFFFF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36" w:type="dxa"/>
            <w:vAlign w:val="center"/>
            <w:vMerge w:val="restart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L’élève repère les </w:t>
            </w: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certifications</w:t>
            </w: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 nécessaires </w:t>
            </w:r>
            <w:r/>
          </w:p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L’élève repère les appareils de </w:t>
            </w: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mesure nécessaires.</w:t>
            </w:r>
            <w:r/>
          </w:p>
        </w:tc>
      </w:tr>
      <w:tr>
        <w:trPr>
          <w:trHeight w:val="130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09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Comment intervenir sur le site en toute sécurité pour effectuer son intervention ?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701" w:type="dxa"/>
            <w:vAlign w:val="center"/>
            <w:textDirection w:val="lrTb"/>
            <w:noWrap w:val="false"/>
          </w:tcPr>
          <w:p>
            <w:pPr>
              <w:ind w:left="65"/>
              <w:rPr>
                <w:rFonts w:ascii="Calibri" w:hAnsi="Calibri" w:cs="Calibri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Démarche d’investigation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702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sz w:val="18"/>
                <w:szCs w:val="18"/>
              </w:rPr>
            </w:pPr>
            <w:r>
              <w:rPr>
                <w:rFonts w:ascii="Calibri" w:hAnsi="Calibri" w:cs="Calibri" w:eastAsia="Arial"/>
                <w:sz w:val="18"/>
              </w:rPr>
              <w:t xml:space="preserve">A partir des textes réglementaires identifier les EPI, EPC et EIS nécessaires au</w:t>
            </w:r>
            <w:r>
              <w:rPr>
                <w:rFonts w:ascii="Calibri" w:hAnsi="Calibri" w:cs="Calibri" w:eastAsia="Arial"/>
                <w:sz w:val="18"/>
              </w:rPr>
              <w:t xml:space="preserve">x</w:t>
            </w:r>
            <w:r>
              <w:rPr>
                <w:rFonts w:ascii="Calibri" w:hAnsi="Calibri" w:cs="Calibri" w:eastAsia="Arial"/>
                <w:sz w:val="18"/>
              </w:rPr>
              <w:t xml:space="preserve"> </w:t>
            </w:r>
            <w:r>
              <w:rPr>
                <w:rFonts w:ascii="Calibri" w:hAnsi="Calibri" w:cs="Calibri" w:eastAsia="Arial"/>
                <w:sz w:val="18"/>
              </w:rPr>
              <w:t xml:space="preserve">interventions</w:t>
            </w:r>
            <w:r/>
          </w:p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2125" w:type="dxa"/>
            <w:vAlign w:val="center"/>
            <w:textDirection w:val="lrTb"/>
            <w:noWrap w:val="false"/>
          </w:tcPr>
          <w:p>
            <w:pPr>
              <w:ind w:left="132"/>
              <w:rPr>
                <w:rFonts w:ascii="Calibri" w:hAnsi="Calibri" w:cs="Calibri" w:eastAsia="Arial"/>
                <w:color w:val="auto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Ressource numérique</w:t>
            </w:r>
            <w:r/>
          </w:p>
          <w:p>
            <w:pPr>
              <w:ind w:left="132"/>
              <w:rPr>
                <w:rFonts w:ascii="Calibri" w:hAnsi="Calibri" w:cs="Calibri" w:eastAsia="Arial"/>
                <w:color w:val="auto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Plan du bâtiment</w:t>
            </w:r>
            <w:r/>
          </w:p>
          <w:p>
            <w:pPr>
              <w:ind w:left="132"/>
              <w:rPr>
                <w:rFonts w:ascii="Calibri" w:hAnsi="Calibri" w:cs="Calibri" w:eastAsia="Arial"/>
                <w:color w:val="auto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Schéma de principe</w:t>
            </w:r>
            <w:r/>
          </w:p>
          <w:p>
            <w:pPr>
              <w:ind w:left="132"/>
              <w:rPr>
                <w:rFonts w:ascii="Calibri" w:hAnsi="Calibri" w:cs="Calibri" w:eastAsia="Arial"/>
                <w:color w:val="auto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Schéma électrique</w:t>
            </w:r>
            <w:r/>
          </w:p>
          <w:p>
            <w:pPr>
              <w:ind w:left="132"/>
              <w:rPr>
                <w:rFonts w:ascii="Calibri" w:hAnsi="Calibri" w:cs="Calibri" w:eastAsia="Arial"/>
                <w:color w:val="auto"/>
                <w:sz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Documentation constructeur</w:t>
            </w:r>
            <w:r/>
          </w:p>
          <w:p>
            <w:pPr>
              <w:ind w:left="13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Réglementations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36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L’élève a identifié et listé son matériel et les équipements de sécurité pour effectuer s</w:t>
            </w: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es </w:t>
            </w: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intervention</w:t>
            </w: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s</w:t>
            </w: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.</w:t>
            </w:r>
            <w:r/>
          </w:p>
        </w:tc>
      </w:tr>
      <w:tr>
        <w:trPr>
          <w:trHeight w:val="1511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09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Quels sont les grandeurs caractéristiques pour garantir le bon fonctionnement de </w:t>
            </w: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l’installation ?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701" w:type="dxa"/>
            <w:vAlign w:val="center"/>
            <w:textDirection w:val="lrTb"/>
            <w:noWrap w:val="false"/>
          </w:tcPr>
          <w:p>
            <w:pPr>
              <w:ind w:left="79"/>
              <w:rPr>
                <w:rFonts w:ascii="Calibri" w:hAnsi="Calibri" w:cs="Calibri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Démarche d’investigations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702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sz w:val="18"/>
              </w:rPr>
              <w:t xml:space="preserve">Identifier la pression, la tension,les intensités, les températures et les débits assurant le bon fonctionnement de l’installation</w:t>
            </w:r>
            <w:r/>
          </w:p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sz w:val="18"/>
              </w:rPr>
              <w:t xml:space="preserve">Schématiser les réseaux</w:t>
            </w:r>
            <w:r>
              <w:rPr>
                <w:rFonts w:ascii="Calibri" w:hAnsi="Calibri" w:cs="Calibri" w:eastAsia="Arial"/>
                <w:sz w:val="18"/>
              </w:rPr>
              <w:t xml:space="preserve">, hydrauliques</w:t>
            </w:r>
            <w:r>
              <w:rPr>
                <w:rFonts w:ascii="Calibri" w:hAnsi="Calibri" w:cs="Calibri" w:eastAsia="Arial"/>
                <w:sz w:val="18"/>
              </w:rPr>
              <w:t xml:space="preserve"> et électriques en lien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2125" w:type="dxa"/>
            <w:vAlign w:val="center"/>
            <w:textDirection w:val="lrTb"/>
            <w:noWrap w:val="false"/>
          </w:tcPr>
          <w:p>
            <w:pPr>
              <w:ind w:left="13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Ressource numérique</w:t>
            </w:r>
            <w:r/>
          </w:p>
          <w:p>
            <w:pPr>
              <w:ind w:left="13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Documents ressources</w:t>
            </w:r>
            <w:r/>
          </w:p>
          <w:p>
            <w:pPr>
              <w:ind w:left="132"/>
              <w:rPr>
                <w:rFonts w:ascii="Calibri" w:hAnsi="Calibri" w:cs="Calibri" w:eastAsia="Arial"/>
                <w:color w:val="auto"/>
                <w:sz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Documentations constructeurs</w:t>
            </w:r>
            <w:r/>
          </w:p>
          <w:p>
            <w:pPr>
              <w:ind w:left="13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Textes réglementaires</w:t>
            </w:r>
            <w:r/>
          </w:p>
          <w:p>
            <w:pPr>
              <w:ind w:left="13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</w:r>
            <w:r/>
          </w:p>
          <w:p>
            <w:pPr>
              <w:ind w:left="132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36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Suivant différentes températures extérieures l</w:t>
            </w: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’élève explique les différents modes de fonctionnement </w:t>
            </w: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de l’installation lors de la prémise en service et lors du régime établi </w:t>
            </w:r>
            <w:r/>
          </w:p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L’élève a repéré les éléments à vérifier.</w:t>
            </w:r>
            <w:r/>
          </w:p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</w:r>
            <w:r/>
          </w:p>
        </w:tc>
      </w:tr>
    </w:tbl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>
        <w:br w:type="page"/>
      </w:r>
      <w:r/>
    </w:p>
    <w:p>
      <w:r/>
      <w:r/>
    </w:p>
    <w:tbl>
      <w:tblPr>
        <w:tblStyle w:val="655"/>
        <w:tblW w:w="10773" w:type="dxa"/>
        <w:tblInd w:w="57" w:type="dxa"/>
        <w:tblCellMar>
          <w:left w:w="57" w:type="dxa"/>
          <w:right w:w="108" w:type="dxa"/>
        </w:tblCellMar>
        <w:tblLook w:val="0000" w:firstRow="0" w:lastRow="0" w:firstColumn="0" w:lastColumn="0" w:noHBand="0" w:noVBand="0"/>
      </w:tblPr>
      <w:tblGrid>
        <w:gridCol w:w="4677"/>
        <w:gridCol w:w="6096"/>
      </w:tblGrid>
      <w:tr>
        <w:trPr>
          <w:trHeight w:val="397"/>
        </w:trPr>
        <w:tc>
          <w:tcPr>
            <w:gridSpan w:val="2"/>
            <w:shd w:val="clear" w:color="auto" w:fill="B7DDE8"/>
            <w:tcBorders>
              <w:left w:val="single" w:color="000001" w:sz="12" w:space="0"/>
              <w:top w:val="single" w:color="000001" w:sz="12" w:space="0"/>
              <w:right w:val="single" w:color="000001" w:sz="12" w:space="0"/>
              <w:bottom w:val="single" w:color="000001" w:sz="6" w:space="0"/>
            </w:tcBorders>
            <w:tcW w:w="10772" w:type="dxa"/>
            <w:vAlign w:val="center"/>
            <w:textDirection w:val="lrTb"/>
            <w:noWrap w:val="false"/>
          </w:tcPr>
          <w:p>
            <w:pPr>
              <w:jc w:val="center"/>
              <w:spacing w:before="120"/>
              <w:rPr>
                <w:rFonts w:ascii="Calibri" w:hAnsi="Calibri" w:cs="Calibri" w:eastAsia="Calibri"/>
                <w:b/>
                <w:color w:val="000000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36"/>
                <w:szCs w:val="36"/>
              </w:rPr>
              <w:t xml:space="preserve">FICHE PÉDAGOGIQUE DE LA SÉQUENCE n°2</w:t>
            </w:r>
            <w:r/>
          </w:p>
        </w:tc>
      </w:tr>
      <w:tr>
        <w:trPr>
          <w:trHeight w:val="666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W w:w="4677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i/>
                <w:color w:val="000000"/>
                <w:sz w:val="8"/>
                <w:szCs w:val="8"/>
              </w:rPr>
            </w:pPr>
            <w:r>
              <w:rPr>
                <w:rFonts w:ascii="Calibri" w:hAnsi="Calibri" w:cs="Calibri"/>
              </w:rPr>
              <mc:AlternateContent>
                <mc:Choice Requires="wpg">
                  <w:drawing>
                    <wp:anchor xmlns:wp="http://schemas.openxmlformats.org/drawingml/2006/wordprocessingDrawing"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451485</wp:posOffset>
                      </wp:positionH>
                      <wp:positionV relativeFrom="paragraph">
                        <wp:posOffset>-4445</wp:posOffset>
                      </wp:positionV>
                      <wp:extent cx="2076450" cy="1318030"/>
                      <wp:effectExtent l="0" t="0" r="0" b="0"/>
                      <wp:wrapNone/>
                      <wp:docPr id="4" name="Image 3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Image 3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76450" cy="13180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position:absolute;mso-wrap-distance-left:9.0pt;mso-wrap-distance-top:0.0pt;mso-wrap-distance-right:9.0pt;mso-wrap-distance-bottom:0.0pt;z-index:251658240;o:allowoverlap:true;o:allowincell:true;mso-position-horizontal-relative:text;margin-left:35.5pt;mso-position-horizontal:absolute;mso-position-vertical-relative:text;margin-top:-0.3pt;mso-position-vertical:absolute;width:163.5pt;height:103.8pt;" stroked="false">
                      <v:path textboxrect="0,0,0,0"/>
                      <v:imagedata r:id="rId9" o:title=""/>
                    </v:shape>
                  </w:pict>
                </mc:Fallback>
              </mc:AlternateContent>
            </w:r>
            <w:r/>
          </w:p>
          <w:p>
            <w:pPr>
              <w:jc w:val="center"/>
              <w:spacing w:after="120"/>
              <w:rPr>
                <w:rFonts w:ascii="Calibri" w:hAnsi="Calibri" w:cs="Calibri" w:eastAsia="Calibri"/>
                <w:b/>
                <w:i/>
                <w:color w:val="000000"/>
                <w:sz w:val="8"/>
                <w:szCs w:val="8"/>
              </w:rPr>
            </w:pPr>
            <w:r>
              <w:rPr>
                <w:rFonts w:ascii="Calibri" w:hAnsi="Calibri" w:cs="Calibri" w:eastAsia="Calibri"/>
                <w:b/>
                <w:i/>
                <w:color w:val="000000"/>
                <w:sz w:val="8"/>
                <w:szCs w:val="8"/>
              </w:rPr>
              <w:t xml:space="preserve">C</w:t>
            </w:r>
            <w:r/>
          </w:p>
          <w:p>
            <w:pPr>
              <w:rPr>
                <w:rFonts w:ascii="Calibri" w:hAnsi="Calibri" w:cs="Calibri" w:eastAsia="Calibri"/>
                <w:sz w:val="8"/>
                <w:szCs w:val="8"/>
              </w:rPr>
            </w:pPr>
            <w:r>
              <w:rPr>
                <w:rFonts w:ascii="Calibri" w:hAnsi="Calibri" w:cs="Calibri" w:eastAsia="Calibri"/>
                <w:sz w:val="8"/>
                <w:szCs w:val="8"/>
              </w:rPr>
            </w:r>
            <w:r/>
          </w:p>
          <w:p>
            <w:pPr>
              <w:rPr>
                <w:rFonts w:ascii="Calibri" w:hAnsi="Calibri" w:cs="Calibri" w:eastAsia="Calibri"/>
                <w:sz w:val="8"/>
                <w:szCs w:val="8"/>
              </w:rPr>
            </w:pPr>
            <w:r>
              <w:rPr>
                <w:rFonts w:ascii="Calibri" w:hAnsi="Calibri" w:cs="Calibri" w:eastAsia="Calibri"/>
                <w:sz w:val="8"/>
                <w:szCs w:val="8"/>
              </w:rPr>
            </w:r>
            <w:r/>
          </w:p>
          <w:p>
            <w:pPr>
              <w:rPr>
                <w:rFonts w:ascii="Calibri" w:hAnsi="Calibri" w:cs="Calibri" w:eastAsia="Calibri"/>
                <w:sz w:val="8"/>
                <w:szCs w:val="8"/>
              </w:rPr>
            </w:pPr>
            <w:r>
              <w:rPr>
                <w:rFonts w:ascii="Calibri" w:hAnsi="Calibri" w:cs="Calibri" w:eastAsia="Calibri"/>
                <w:sz w:val="8"/>
                <w:szCs w:val="8"/>
              </w:rPr>
            </w:r>
            <w:r/>
          </w:p>
          <w:p>
            <w:pPr>
              <w:rPr>
                <w:rFonts w:ascii="Calibri" w:hAnsi="Calibri" w:cs="Calibri" w:eastAsia="Calibri"/>
                <w:sz w:val="8"/>
                <w:szCs w:val="8"/>
              </w:rPr>
            </w:pPr>
            <w:r>
              <w:rPr>
                <w:rFonts w:ascii="Calibri" w:hAnsi="Calibri" w:cs="Calibri" w:eastAsia="Calibri"/>
                <w:sz w:val="8"/>
                <w:szCs w:val="8"/>
              </w:rPr>
            </w:r>
            <w:r/>
          </w:p>
          <w:p>
            <w:pPr>
              <w:rPr>
                <w:rFonts w:ascii="Calibri" w:hAnsi="Calibri" w:cs="Calibri" w:eastAsia="Calibri"/>
                <w:sz w:val="8"/>
                <w:szCs w:val="8"/>
              </w:rPr>
            </w:pPr>
            <w:r>
              <w:rPr>
                <w:rFonts w:ascii="Calibri" w:hAnsi="Calibri" w:cs="Calibri" w:eastAsia="Calibri"/>
                <w:sz w:val="8"/>
                <w:szCs w:val="8"/>
              </w:rPr>
            </w:r>
            <w:r/>
          </w:p>
          <w:p>
            <w:pPr>
              <w:rPr>
                <w:rFonts w:ascii="Calibri" w:hAnsi="Calibri" w:cs="Calibri" w:eastAsia="Calibri"/>
                <w:sz w:val="8"/>
                <w:szCs w:val="8"/>
              </w:rPr>
            </w:pPr>
            <w:r>
              <w:rPr>
                <w:rFonts w:ascii="Calibri" w:hAnsi="Calibri" w:cs="Calibri" w:eastAsia="Calibri"/>
                <w:sz w:val="8"/>
                <w:szCs w:val="8"/>
              </w:rPr>
            </w:r>
            <w:r/>
          </w:p>
          <w:p>
            <w:pPr>
              <w:rPr>
                <w:rFonts w:ascii="Calibri" w:hAnsi="Calibri" w:cs="Calibri" w:eastAsia="Calibri"/>
                <w:sz w:val="8"/>
                <w:szCs w:val="8"/>
              </w:rPr>
            </w:pPr>
            <w:r>
              <w:rPr>
                <w:rFonts w:ascii="Calibri" w:hAnsi="Calibri" w:cs="Calibri" w:eastAsia="Calibri"/>
                <w:sz w:val="8"/>
                <w:szCs w:val="8"/>
              </w:rPr>
            </w:r>
            <w:r/>
          </w:p>
          <w:p>
            <w:pPr>
              <w:rPr>
                <w:rFonts w:ascii="Calibri" w:hAnsi="Calibri" w:cs="Calibri" w:eastAsia="Calibri"/>
                <w:sz w:val="8"/>
                <w:szCs w:val="8"/>
              </w:rPr>
            </w:pPr>
            <w:r>
              <w:rPr>
                <w:rFonts w:ascii="Calibri" w:hAnsi="Calibri" w:cs="Calibri" w:eastAsia="Calibri"/>
                <w:sz w:val="8"/>
                <w:szCs w:val="8"/>
              </w:rPr>
            </w:r>
            <w:r/>
          </w:p>
          <w:p>
            <w:pPr>
              <w:rPr>
                <w:rFonts w:ascii="Calibri" w:hAnsi="Calibri" w:cs="Calibri" w:eastAsia="Calibri"/>
                <w:sz w:val="8"/>
                <w:szCs w:val="8"/>
              </w:rPr>
            </w:pPr>
            <w:r>
              <w:rPr>
                <w:rFonts w:ascii="Calibri" w:hAnsi="Calibri" w:cs="Calibri" w:eastAsia="Calibri"/>
                <w:sz w:val="8"/>
                <w:szCs w:val="8"/>
              </w:rPr>
            </w:r>
            <w:r/>
          </w:p>
          <w:p>
            <w:pPr>
              <w:rPr>
                <w:rFonts w:ascii="Calibri" w:hAnsi="Calibri" w:cs="Calibri" w:eastAsia="Calibri"/>
                <w:sz w:val="8"/>
                <w:szCs w:val="8"/>
              </w:rPr>
            </w:pPr>
            <w:r>
              <w:rPr>
                <w:rFonts w:ascii="Calibri" w:hAnsi="Calibri" w:cs="Calibri" w:eastAsia="Calibri"/>
                <w:sz w:val="8"/>
                <w:szCs w:val="8"/>
              </w:rPr>
            </w:r>
            <w:r/>
          </w:p>
          <w:p>
            <w:pPr>
              <w:rPr>
                <w:rFonts w:ascii="Calibri" w:hAnsi="Calibri" w:cs="Calibri" w:eastAsia="Calibri"/>
                <w:sz w:val="8"/>
                <w:szCs w:val="8"/>
              </w:rPr>
            </w:pPr>
            <w:r>
              <w:rPr>
                <w:rFonts w:ascii="Calibri" w:hAnsi="Calibri" w:cs="Calibri" w:eastAsia="Calibri"/>
                <w:sz w:val="8"/>
                <w:szCs w:val="8"/>
              </w:rPr>
            </w:r>
            <w:r/>
          </w:p>
          <w:p>
            <w:pPr>
              <w:rPr>
                <w:rFonts w:ascii="Calibri" w:hAnsi="Calibri" w:cs="Calibri" w:eastAsia="Calibri"/>
                <w:sz w:val="8"/>
                <w:szCs w:val="8"/>
              </w:rPr>
            </w:pPr>
            <w:r>
              <w:rPr>
                <w:rFonts w:ascii="Calibri" w:hAnsi="Calibri" w:cs="Calibri" w:eastAsia="Calibri"/>
                <w:sz w:val="8"/>
                <w:szCs w:val="8"/>
              </w:rPr>
            </w:r>
            <w:r/>
          </w:p>
          <w:p>
            <w:pPr>
              <w:rPr>
                <w:rFonts w:ascii="Calibri" w:hAnsi="Calibri" w:cs="Calibri" w:eastAsia="Calibri"/>
                <w:sz w:val="8"/>
                <w:szCs w:val="8"/>
              </w:rPr>
            </w:pPr>
            <w:r>
              <w:rPr>
                <w:rFonts w:ascii="Calibri" w:hAnsi="Calibri" w:cs="Calibri" w:eastAsia="Calibri"/>
                <w:sz w:val="8"/>
                <w:szCs w:val="8"/>
              </w:rPr>
            </w:r>
            <w:r/>
          </w:p>
          <w:p>
            <w:pPr>
              <w:rPr>
                <w:rFonts w:ascii="Calibri" w:hAnsi="Calibri" w:cs="Calibri" w:eastAsia="Calibri"/>
                <w:sz w:val="8"/>
                <w:szCs w:val="8"/>
              </w:rPr>
            </w:pPr>
            <w:r>
              <w:rPr>
                <w:rFonts w:ascii="Calibri" w:hAnsi="Calibri" w:cs="Calibri" w:eastAsia="Calibri"/>
                <w:sz w:val="8"/>
                <w:szCs w:val="8"/>
              </w:rPr>
            </w:r>
            <w:r/>
          </w:p>
          <w:p>
            <w:pPr>
              <w:rPr>
                <w:rFonts w:ascii="Calibri" w:hAnsi="Calibri" w:cs="Calibri" w:eastAsia="Calibri"/>
                <w:sz w:val="8"/>
                <w:szCs w:val="8"/>
              </w:rPr>
            </w:pPr>
            <w:r>
              <w:rPr>
                <w:rFonts w:ascii="Calibri" w:hAnsi="Calibri" w:cs="Calibri" w:eastAsia="Calibri"/>
                <w:sz w:val="8"/>
                <w:szCs w:val="8"/>
              </w:rPr>
            </w:r>
            <w:r/>
          </w:p>
          <w:p>
            <w:pPr>
              <w:rPr>
                <w:rFonts w:ascii="Calibri" w:hAnsi="Calibri" w:cs="Calibri" w:eastAsia="Calibri"/>
                <w:sz w:val="8"/>
                <w:szCs w:val="8"/>
              </w:rPr>
            </w:pPr>
            <w:r>
              <w:rPr>
                <w:rFonts w:ascii="Calibri" w:hAnsi="Calibri" w:cs="Calibri" w:eastAsia="Calibri"/>
                <w:sz w:val="8"/>
                <w:szCs w:val="8"/>
              </w:rPr>
            </w:r>
            <w:r/>
          </w:p>
          <w:p>
            <w:pPr>
              <w:rPr>
                <w:rFonts w:ascii="Calibri" w:hAnsi="Calibri" w:cs="Calibri" w:eastAsia="Calibri"/>
                <w:sz w:val="8"/>
                <w:szCs w:val="8"/>
              </w:rPr>
            </w:pPr>
            <w:r>
              <w:rPr>
                <w:rFonts w:ascii="Calibri" w:hAnsi="Calibri" w:cs="Calibri" w:eastAsia="Calibri"/>
                <w:sz w:val="8"/>
                <w:szCs w:val="8"/>
              </w:rPr>
            </w:r>
            <w:r/>
          </w:p>
          <w:p>
            <w:pPr>
              <w:rPr>
                <w:rFonts w:ascii="Calibri" w:hAnsi="Calibri" w:cs="Calibri" w:eastAsia="Calibri"/>
                <w:sz w:val="8"/>
                <w:szCs w:val="8"/>
              </w:rPr>
            </w:pPr>
            <w:r>
              <w:rPr>
                <w:rFonts w:ascii="Calibri" w:hAnsi="Calibri" w:cs="Calibri" w:eastAsia="Calibri"/>
                <w:sz w:val="8"/>
                <w:szCs w:val="8"/>
              </w:rPr>
            </w:r>
            <w:r/>
          </w:p>
          <w:p>
            <w:pPr>
              <w:rPr>
                <w:rFonts w:ascii="Calibri" w:hAnsi="Calibri" w:cs="Calibri" w:eastAsia="Calibri"/>
                <w:sz w:val="8"/>
                <w:szCs w:val="8"/>
              </w:rPr>
            </w:pPr>
            <w:r>
              <w:rPr>
                <w:rFonts w:ascii="Calibri" w:hAnsi="Calibri" w:cs="Calibri" w:eastAsia="Calibri"/>
                <w:sz w:val="8"/>
                <w:szCs w:val="8"/>
              </w:rPr>
            </w:r>
            <w:r/>
          </w:p>
          <w:p>
            <w:pPr>
              <w:jc w:val="both"/>
              <w:rPr>
                <w:rFonts w:ascii="Calibri" w:hAnsi="Calibri" w:cs="Calibri" w:eastAsia="Calibri"/>
                <w:b/>
                <w:color w:val="F79646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/>
                <w:color w:val="F79646" w:themeColor="accent6"/>
                <w:sz w:val="20"/>
                <w:szCs w:val="20"/>
              </w:rPr>
              <w:t xml:space="preserve">L’entreprise vous informe avant l’intervention que les départs</w:t>
            </w:r>
            <w:r>
              <w:rPr>
                <w:rFonts w:ascii="Calibri" w:hAnsi="Calibri" w:cs="Calibri" w:eastAsia="Calibri"/>
                <w:b/>
                <w:color w:val="F79646" w:themeColor="accent6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F79646" w:themeColor="accent6"/>
                <w:sz w:val="20"/>
                <w:szCs w:val="20"/>
              </w:rPr>
              <w:t xml:space="preserve">(cuivre) sont inversés entre le circuit radiateur et le circuit plancher chauffant.</w:t>
            </w:r>
            <w:r/>
          </w:p>
          <w:p>
            <w:pPr>
              <w:jc w:val="both"/>
              <w:rPr>
                <w:rFonts w:ascii="Calibri" w:hAnsi="Calibri" w:cs="Calibri" w:eastAsia="Calibri"/>
                <w:b/>
                <w:color w:val="F79646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/>
                <w:color w:val="F79646" w:themeColor="accent6"/>
                <w:sz w:val="20"/>
                <w:szCs w:val="20"/>
              </w:rPr>
              <w:t xml:space="preserve">Le client a signé un devis de travaux supplémentaires où il souhaite piloter</w:t>
            </w:r>
            <w:r>
              <w:rPr>
                <w:rFonts w:ascii="Calibri" w:hAnsi="Calibri" w:cs="Calibri" w:eastAsia="Calibri"/>
                <w:b/>
                <w:color w:val="F79646" w:themeColor="accent6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F79646" w:themeColor="accent6"/>
                <w:sz w:val="20"/>
                <w:szCs w:val="20"/>
              </w:rPr>
              <w:t xml:space="preserve">l’installation grâce à deux thermostats d’ambiance sans fil sur chacune des</w:t>
            </w:r>
            <w:r>
              <w:rPr>
                <w:rFonts w:ascii="Calibri" w:hAnsi="Calibri" w:cs="Calibri" w:eastAsia="Calibri"/>
                <w:b/>
                <w:color w:val="F79646" w:themeColor="accent6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F79646" w:themeColor="accent6"/>
                <w:sz w:val="20"/>
                <w:szCs w:val="20"/>
              </w:rPr>
              <w:t xml:space="preserve">zones.</w:t>
            </w:r>
            <w:r/>
          </w:p>
          <w:p>
            <w:pPr>
              <w:tabs>
                <w:tab w:val="left" w:pos="3015" w:leader="none"/>
              </w:tabs>
              <w:rPr>
                <w:rFonts w:ascii="Calibri" w:hAnsi="Calibri" w:cs="Calibri" w:eastAsia="Calibri"/>
                <w:sz w:val="8"/>
                <w:szCs w:val="8"/>
              </w:rPr>
            </w:pPr>
            <w:r>
              <w:rPr>
                <w:rFonts w:ascii="Calibri" w:hAnsi="Calibri" w:cs="Calibri" w:eastAsia="Calibri"/>
                <w:b/>
                <w:color w:val="F79646" w:themeColor="accent6"/>
                <w:sz w:val="20"/>
                <w:szCs w:val="20"/>
              </w:rPr>
              <w:t xml:space="preserve">Vous apprenez que le système est raccordé au gaz de ville</w:t>
            </w:r>
            <w:r/>
          </w:p>
          <w:p>
            <w:pPr>
              <w:rPr>
                <w:rFonts w:ascii="Calibri" w:hAnsi="Calibri" w:cs="Calibri" w:eastAsia="Calibri"/>
                <w:sz w:val="8"/>
                <w:szCs w:val="8"/>
              </w:rPr>
            </w:pPr>
            <w:r>
              <w:rPr>
                <w:rFonts w:ascii="Calibri" w:hAnsi="Calibri" w:cs="Calibri" w:eastAsia="Calibri"/>
                <w:sz w:val="8"/>
                <w:szCs w:val="8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6095" w:type="dxa"/>
            <w:vAlign w:val="center"/>
            <w:textDirection w:val="lrTb"/>
            <w:noWrap w:val="false"/>
          </w:tcPr>
          <w:p>
            <w:pPr>
              <w:pStyle w:val="575"/>
              <w:numPr>
                <w:ilvl w:val="0"/>
                <w:numId w:val="8"/>
              </w:numPr>
              <w:jc w:val="center"/>
              <w:spacing w:after="40"/>
              <w:tabs>
                <w:tab w:val="left" w:pos="0" w:leader="none"/>
              </w:tabs>
              <w:rPr>
                <w:rFonts w:ascii="Calibri" w:hAnsi="Calibri" w:cs="Calibri" w:eastAsia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i/>
                <w:color w:val="000000"/>
                <w:sz w:val="18"/>
                <w:szCs w:val="18"/>
              </w:rPr>
              <w:t xml:space="preserve">Problématique</w:t>
            </w:r>
            <w:r/>
          </w:p>
          <w:p>
            <w:pPr>
              <w:jc w:val="center"/>
              <w:rPr>
                <w:rFonts w:ascii="Calibri" w:hAnsi="Calibri" w:cs="Calibri"/>
                <w:b/>
                <w:color w:val="auto"/>
              </w:rPr>
            </w:pPr>
            <w:r>
              <w:rPr>
                <w:rFonts w:ascii="Calibri" w:hAnsi="Calibri" w:cs="Calibri"/>
                <w:b/>
                <w:color w:val="F79646" w:themeColor="accent6"/>
                <w:sz w:val="22"/>
              </w:rPr>
              <w:t xml:space="preserve">Comment mettre en œuvre la modification d’une installation ?</w:t>
            </w:r>
            <w:r/>
          </w:p>
        </w:tc>
      </w:tr>
      <w:tr>
        <w:trPr>
          <w:trHeight w:val="1383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12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4677" w:type="dxa"/>
            <w:vMerge w:val="continue"/>
            <w:textDirection w:val="lrTb"/>
            <w:noWrap w:val="false"/>
          </w:tcPr>
          <w:p>
            <w:pPr>
              <w:spacing w:lineRule="auto" w:line="276"/>
              <w:widowControl w:val="off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12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6095" w:type="dxa"/>
            <w:vAlign w:val="center"/>
            <w:textDirection w:val="lrTb"/>
            <w:noWrap w:val="false"/>
          </w:tcPr>
          <w:p>
            <w:pPr>
              <w:pStyle w:val="575"/>
              <w:numPr>
                <w:ilvl w:val="0"/>
                <w:numId w:val="8"/>
              </w:numPr>
              <w:jc w:val="center"/>
              <w:spacing w:after="40" w:before="40"/>
              <w:tabs>
                <w:tab w:val="left" w:pos="0" w:leader="none"/>
              </w:tabs>
              <w:rPr>
                <w:rFonts w:ascii="Calibri" w:hAnsi="Calibri" w:cs="Calibri" w:eastAsia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i/>
                <w:color w:val="000000"/>
                <w:sz w:val="18"/>
                <w:szCs w:val="18"/>
              </w:rPr>
              <w:t xml:space="preserve">Positionnement sur la classe de seconde</w:t>
            </w:r>
            <w:r/>
          </w:p>
          <w:p>
            <w:pPr>
              <w:pStyle w:val="575"/>
              <w:numPr>
                <w:ilvl w:val="0"/>
                <w:numId w:val="8"/>
              </w:numPr>
              <w:ind w:left="387"/>
              <w:jc w:val="center"/>
              <w:spacing w:after="40" w:before="40"/>
              <w:tabs>
                <w:tab w:val="left" w:pos="387" w:leader="none"/>
              </w:tabs>
              <w:rPr>
                <w:rFonts w:ascii="Calibri" w:hAnsi="Calibri" w:cs="Calibri" w:eastAsia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i/>
                <w:color w:val="000000"/>
                <w:sz w:val="18"/>
                <w:szCs w:val="18"/>
              </w:rPr>
              <w:t xml:space="preserve">Début d’année                                                                               Fin d’année</w:t>
            </w:r>
            <w:r/>
          </w:p>
          <w:tbl>
            <w:tblPr>
              <w:tblStyle w:val="656"/>
              <w:tblW w:w="5295" w:type="dxa"/>
              <w:tblInd w:w="548" w:type="dxa"/>
              <w:tblCellMar>
                <w:right w:w="0" w:type="dxa"/>
              </w:tblCellMar>
              <w:tblLook w:val="0400" w:firstRow="0" w:lastRow="0" w:firstColumn="0" w:lastColumn="0" w:noHBand="0" w:noVBand="1"/>
            </w:tblPr>
            <w:tblGrid>
              <w:gridCol w:w="524"/>
              <w:gridCol w:w="477"/>
              <w:gridCol w:w="476"/>
              <w:gridCol w:w="476"/>
              <w:gridCol w:w="476"/>
              <w:gridCol w:w="573"/>
              <w:gridCol w:w="573"/>
              <w:gridCol w:w="573"/>
              <w:gridCol w:w="573"/>
              <w:gridCol w:w="574"/>
            </w:tblGrid>
            <w:tr>
              <w:trPr/>
              <w:tc>
                <w:tcPr>
                  <w:shd w:val="clear" w:color="auto" w:fill="auto"/>
                  <w:tcBorders>
                    <w:left w:val="single" w:color="000000" w:sz="8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48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rFonts w:ascii="Calibri" w:hAnsi="Calibri" w:cs="Calibri"/>
                      <w:color w:val="000000"/>
                      <w:highlight w:val="darkBlue"/>
                    </w:rPr>
                  </w:pPr>
                  <w:r>
                    <w:rPr>
                      <w:rFonts w:ascii="Calibri" w:hAnsi="Calibri" w:cs="Calibri"/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437" w:type="dxa"/>
                  <w:textDirection w:val="lrTb"/>
                  <w:noWrap w:val="false"/>
                </w:tcPr>
                <w:p>
                  <w:pPr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</w:r>
                  <w:r/>
                </w:p>
              </w:tc>
              <w:tc>
                <w:tcPr>
                  <w:shd w:val="clear" w:color="auto" w:fill="FFFFFF" w:themeFill="background1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437" w:type="dxa"/>
                  <w:textDirection w:val="lrTb"/>
                  <w:noWrap w:val="false"/>
                </w:tcPr>
                <w:p>
                  <w:pPr>
                    <w:shd w:val="clear" w:color="auto" w:fill="00B050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</w:r>
                  <w:r/>
                </w:p>
              </w:tc>
              <w:tc>
                <w:tcPr>
                  <w:shd w:val="clear" w:color="auto" w:fill="00B050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437" w:type="dxa"/>
                  <w:textDirection w:val="lrTb"/>
                  <w:noWrap w:val="false"/>
                </w:tcPr>
                <w:p>
                  <w:pPr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437" w:type="dxa"/>
                  <w:textDirection w:val="lrTb"/>
                  <w:noWrap w:val="false"/>
                </w:tcPr>
                <w:p>
                  <w:pPr>
                    <w:shd w:val="clear" w:color="auto" w:fill="FFFFFF" w:themeFill="background1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26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rFonts w:ascii="Calibri" w:hAnsi="Calibri" w:cs="Calibri"/>
                      <w:color w:val="000000"/>
                      <w:highlight w:val="darkBlue"/>
                    </w:rPr>
                  </w:pPr>
                  <w:r>
                    <w:rPr>
                      <w:rFonts w:ascii="Calibri" w:hAnsi="Calibri" w:cs="Calibri"/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FFFFFF" w:themeFill="background1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26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rFonts w:ascii="Calibri" w:hAnsi="Calibri" w:cs="Calibri"/>
                      <w:color w:val="000000"/>
                      <w:highlight w:val="darkBlue"/>
                    </w:rPr>
                  </w:pPr>
                  <w:r>
                    <w:rPr>
                      <w:rFonts w:ascii="Calibri" w:hAnsi="Calibri" w:cs="Calibri"/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26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rFonts w:ascii="Calibri" w:hAnsi="Calibri" w:cs="Calibri"/>
                      <w:color w:val="000000"/>
                      <w:highlight w:val="darkBlue"/>
                    </w:rPr>
                  </w:pPr>
                  <w:r>
                    <w:rPr>
                      <w:rFonts w:ascii="Calibri" w:hAnsi="Calibri" w:cs="Calibri"/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26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rFonts w:ascii="Calibri" w:hAnsi="Calibri" w:cs="Calibri"/>
                      <w:color w:val="000000"/>
                      <w:highlight w:val="darkBlue"/>
                    </w:rPr>
                  </w:pPr>
                  <w:r>
                    <w:rPr>
                      <w:rFonts w:ascii="Calibri" w:hAnsi="Calibri" w:cs="Calibri"/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8" w:space="0"/>
                    <w:bottom w:val="single" w:color="000000" w:sz="8" w:space="0"/>
                  </w:tcBorders>
                  <w:tcW w:w="527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rFonts w:ascii="Calibri" w:hAnsi="Calibri" w:cs="Calibri"/>
                      <w:color w:val="000000"/>
                      <w:highlight w:val="darkBlue"/>
                    </w:rPr>
                  </w:pPr>
                  <w:r>
                    <w:rPr>
                      <w:rFonts w:ascii="Calibri" w:hAnsi="Calibri" w:cs="Calibri"/>
                      <w:color w:val="000000"/>
                      <w:highlight w:val="darkBlue"/>
                    </w:rPr>
                  </w:r>
                  <w:r/>
                </w:p>
              </w:tc>
            </w:tr>
          </w:tbl>
          <w:p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</w:r>
            <w:r/>
          </w:p>
        </w:tc>
      </w:tr>
    </w:tbl>
    <w:p>
      <w:pPr>
        <w:rPr>
          <w:rFonts w:ascii="Calibri" w:hAnsi="Calibri" w:cs="Calibri"/>
        </w:rPr>
      </w:pPr>
      <w:r>
        <w:rPr>
          <w:rFonts w:ascii="Calibri" w:hAnsi="Calibri" w:cs="Calibri"/>
        </w:rPr>
      </w:r>
      <w:r/>
    </w:p>
    <w:tbl>
      <w:tblPr>
        <w:tblStyle w:val="655"/>
        <w:tblW w:w="10773" w:type="dxa"/>
        <w:tblInd w:w="57" w:type="dxa"/>
        <w:tblCellMar>
          <w:left w:w="57" w:type="dxa"/>
          <w:right w:w="108" w:type="dxa"/>
        </w:tblCellMar>
        <w:tblLook w:val="0000" w:firstRow="0" w:lastRow="0" w:firstColumn="0" w:lastColumn="0" w:noHBand="0" w:noVBand="0"/>
      </w:tblPr>
      <w:tblGrid>
        <w:gridCol w:w="2267"/>
        <w:gridCol w:w="3402"/>
        <w:gridCol w:w="5104"/>
      </w:tblGrid>
      <w:tr>
        <w:trPr>
          <w:trHeight w:val="320"/>
        </w:trPr>
        <w:tc>
          <w:tcPr>
            <w:shd w:val="clear" w:color="auto" w:fill="B7DDE8"/>
            <w:tcBorders>
              <w:left w:val="single" w:color="000001" w:sz="12" w:space="0"/>
              <w:top w:val="single" w:color="000001" w:sz="12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Compétences visées</w:t>
            </w:r>
            <w:r/>
          </w:p>
        </w:tc>
        <w:tc>
          <w:tcPr>
            <w:shd w:val="clear" w:color="auto" w:fill="B7DDE8"/>
            <w:tcBorders>
              <w:left w:val="single" w:color="000001" w:sz="6" w:space="0"/>
              <w:top w:val="single" w:color="000001" w:sz="12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color w:val="000000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Critères d’évaluation</w:t>
            </w:r>
            <w:r/>
          </w:p>
        </w:tc>
        <w:tc>
          <w:tcPr>
            <w:shd w:val="clear" w:color="auto" w:fill="B7DDE8"/>
            <w:tcBorders>
              <w:left w:val="single" w:color="000001" w:sz="6" w:space="0"/>
              <w:top w:val="single" w:color="000001" w:sz="12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Savoirs associés</w:t>
            </w:r>
            <w:r/>
          </w:p>
        </w:tc>
      </w:tr>
      <w:tr>
        <w:trPr>
          <w:trHeight w:val="2209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C5.1 Contrôler 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la conformité des matériels, des équipements, et des produits livrés</w:t>
            </w:r>
            <w:r/>
          </w:p>
          <w:p>
            <w:pPr>
              <w:rPr>
                <w:rFonts w:ascii="Calibri" w:hAnsi="Calibri" w:cs="Calibri"/>
                <w:sz w:val="18"/>
                <w:szCs w:val="20"/>
              </w:rPr>
            </w:pPr>
            <w:r>
              <w:rPr>
                <w:rFonts w:ascii="Calibri" w:hAnsi="Calibri" w:cs="Calibri"/>
                <w:sz w:val="18"/>
                <w:szCs w:val="20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Les caractéristiques techniques sont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vérifiées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Les quantités sont contrôlées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Les éventuelles anomalies sont consignées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Les bons de livraison, bons de garantie et notices techniques sont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recueillis et transmis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b/>
                <w:bCs/>
                <w:sz w:val="18"/>
                <w:szCs w:val="18"/>
              </w:rPr>
              <w:t xml:space="preserve">S2.1 - La réglementation énergétique et environnementale</w:t>
            </w:r>
            <w:r/>
          </w:p>
          <w:p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b/>
                <w:bCs/>
                <w:sz w:val="18"/>
                <w:szCs w:val="18"/>
              </w:rPr>
              <w:t xml:space="preserve">S5.1.1 - L’implantation des réseaux</w:t>
            </w:r>
            <w:r/>
          </w:p>
          <w:p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b/>
                <w:bCs/>
                <w:sz w:val="18"/>
                <w:szCs w:val="18"/>
              </w:rPr>
              <w:t xml:space="preserve">S5.1.5 - L’outillage de façonnage</w:t>
            </w:r>
            <w:r/>
          </w:p>
          <w:p>
            <w:pPr>
              <w:rPr>
                <w:rFonts w:ascii="Arial" w:hAnsi="Arial" w:cs="Arial" w:eastAsia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Calibri"/>
                <w:b/>
                <w:bCs/>
                <w:color w:val="000000"/>
                <w:sz w:val="18"/>
                <w:szCs w:val="18"/>
              </w:rPr>
            </w:r>
            <w:r/>
          </w:p>
          <w:p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b/>
                <w:bCs/>
                <w:sz w:val="18"/>
                <w:szCs w:val="18"/>
              </w:rPr>
              <w:t xml:space="preserve">S5.1 - Les raccordements fluidiques</w:t>
            </w:r>
            <w:r/>
          </w:p>
          <w:p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b/>
                <w:bCs/>
                <w:sz w:val="18"/>
                <w:szCs w:val="18"/>
              </w:rPr>
              <w:t xml:space="preserve">S5.3 - Les raccordements électriques</w:t>
            </w:r>
            <w:r/>
          </w:p>
        </w:tc>
      </w:tr>
      <w:tr>
        <w:trPr>
          <w:trHeight w:val="977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C6.2 Réaliser 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les modifications des réseaux fluidiques et les câblages électriques</w:t>
            </w:r>
            <w:r/>
          </w:p>
          <w:p>
            <w:pPr>
              <w:rPr>
                <w:rFonts w:ascii="Calibri" w:hAnsi="Calibri" w:cs="Calibri" w:eastAsia="Calibri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auto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Les réseaux sont façonnés, posés et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raccordés conformément aux consignes de la hiérarchie, aux prescriptions techniques, réglementaires et aux normes en vigueur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Le matériel électrique est câblé et raccordé conformément aux consignes de la hiérarchie, et aux prescriptions techniques, réglementaires et aux normes en vigueur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Le travail est soigné, le niveau de qualité attendu est atteint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b/>
                <w:bCs/>
                <w:sz w:val="18"/>
                <w:szCs w:val="18"/>
              </w:rPr>
              <w:t xml:space="preserve">S5.1.2 - Les assemblages de tubes cuivre</w:t>
            </w:r>
            <w:r/>
          </w:p>
          <w:p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b/>
                <w:bCs/>
                <w:sz w:val="18"/>
                <w:szCs w:val="18"/>
              </w:rPr>
              <w:t xml:space="preserve">S7.3 - La santé et la sécurité au travail</w:t>
            </w:r>
            <w:r/>
          </w:p>
        </w:tc>
      </w:tr>
      <w:tr>
        <w:trPr>
          <w:trHeight w:val="670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C6.3 Opérer 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avec une attitude écoresponsable</w:t>
            </w:r>
            <w:r/>
          </w:p>
          <w:p>
            <w:pPr>
              <w:rPr>
                <w:rFonts w:ascii="Calibri" w:hAnsi="Calibri" w:cs="Calibri" w:eastAsia="Calibri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auto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Les déchets sont triés et évacués de manière sélective conformément à la réglementation et aux normes en vigueur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Les consommables sont utilisés sans gaspillage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b/>
                <w:bCs/>
                <w:sz w:val="18"/>
                <w:szCs w:val="18"/>
              </w:rPr>
              <w:t xml:space="preserve">S7.2 - La gestion des déchets</w:t>
            </w:r>
            <w:r/>
          </w:p>
        </w:tc>
      </w:tr>
    </w:tbl>
    <w:p>
      <w:pPr>
        <w:rPr>
          <w:rFonts w:ascii="Calibri" w:hAnsi="Calibri" w:cs="Calibri"/>
        </w:rPr>
      </w:pPr>
      <w:r>
        <w:rPr>
          <w:rFonts w:ascii="Calibri" w:hAnsi="Calibri" w:cs="Calibri"/>
        </w:rPr>
      </w:r>
      <w:r/>
    </w:p>
    <w:p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  <w:r/>
    </w:p>
    <w:tbl>
      <w:tblPr>
        <w:tblStyle w:val="655"/>
        <w:tblW w:w="10773" w:type="dxa"/>
        <w:tblInd w:w="15" w:type="dxa"/>
        <w:tblCellMar>
          <w:left w:w="108" w:type="dxa"/>
          <w:right w:w="108" w:type="dxa"/>
        </w:tblCellMar>
        <w:tblLook w:val="0000" w:firstRow="0" w:lastRow="0" w:firstColumn="0" w:lastColumn="0" w:noHBand="0" w:noVBand="0"/>
      </w:tblPr>
      <w:tblGrid>
        <w:gridCol w:w="10773"/>
      </w:tblGrid>
      <w:tr>
        <w:trPr>
          <w:trHeight w:val="305"/>
        </w:trPr>
        <w:tc>
          <w:tcPr>
            <w:shd w:val="clear" w:color="auto" w:fill="B7DDE8"/>
            <w:tcBorders>
              <w:left w:val="single" w:color="000001" w:sz="12" w:space="0"/>
              <w:top w:val="single" w:color="000001" w:sz="12" w:space="0"/>
              <w:right w:val="single" w:color="000001" w:sz="12" w:space="0"/>
              <w:bottom w:val="single" w:color="000001" w:sz="6" w:space="0"/>
            </w:tcBorders>
            <w:tcW w:w="10773" w:type="dxa"/>
            <w:vAlign w:val="center"/>
            <w:textDirection w:val="lrTb"/>
            <w:noWrap w:val="false"/>
          </w:tcPr>
          <w:p>
            <w:pPr>
              <w:jc w:val="center"/>
              <w:pageBreakBefore/>
              <w:rPr>
                <w:rFonts w:ascii="Calibri" w:hAnsi="Calibri" w:cs="Calibri" w:eastAsia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Prérequis des élèves</w:t>
            </w:r>
            <w:r/>
          </w:p>
        </w:tc>
      </w:tr>
      <w:tr>
        <w:trPr>
          <w:trHeight w:val="649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12" w:space="0"/>
            </w:tcBorders>
            <w:tcW w:w="1077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Avoir effectué et validé la séquence 1</w:t>
            </w: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 en lien avec l’activité de modification</w:t>
            </w:r>
            <w:r/>
          </w:p>
          <w:p>
            <w:pPr>
              <w:jc w:val="center"/>
              <w:rPr>
                <w:rFonts w:ascii="Calibri" w:hAnsi="Calibri" w:cs="Calibri" w:eastAsia="Arial"/>
                <w:color w:val="000000"/>
                <w:sz w:val="18"/>
                <w:szCs w:val="16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6"/>
              </w:rPr>
              <w:t xml:space="preserve">Maîtriser les fondamentaux du façonnage cuivre</w:t>
            </w:r>
            <w:r/>
          </w:p>
          <w:p>
            <w:pPr>
              <w:jc w:val="center"/>
              <w:rPr>
                <w:rFonts w:ascii="Calibri" w:hAnsi="Calibri" w:cs="Calibri" w:eastAsia="Arial"/>
                <w:color w:val="000000"/>
                <w:sz w:val="18"/>
                <w:szCs w:val="16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6"/>
              </w:rPr>
              <w:t xml:space="preserve">Notions de base en</w:t>
            </w:r>
            <w:r>
              <w:rPr>
                <w:rFonts w:ascii="Calibri" w:hAnsi="Calibri" w:cs="Calibri" w:eastAsia="Arial"/>
                <w:color w:val="000000"/>
                <w:sz w:val="18"/>
                <w:szCs w:val="16"/>
              </w:rPr>
              <w:t xml:space="preserve"> </w:t>
            </w:r>
            <w:r>
              <w:rPr>
                <w:rFonts w:ascii="Calibri" w:hAnsi="Calibri" w:cs="Calibri" w:eastAsia="Arial"/>
                <w:color w:val="000000"/>
                <w:sz w:val="18"/>
                <w:szCs w:val="16"/>
              </w:rPr>
              <w:t xml:space="preserve">électricité</w:t>
            </w:r>
            <w:r/>
          </w:p>
        </w:tc>
      </w:tr>
    </w:tbl>
    <w:p>
      <w:pPr>
        <w:rPr>
          <w:rFonts w:ascii="Calibri" w:hAnsi="Calibri" w:cs="Calibri"/>
        </w:rPr>
      </w:pPr>
      <w:r>
        <w:rPr>
          <w:rFonts w:ascii="Calibri" w:hAnsi="Calibri" w:cs="Calibri"/>
        </w:rPr>
      </w:r>
      <w:r/>
    </w:p>
    <w:tbl>
      <w:tblPr>
        <w:tblStyle w:val="655"/>
        <w:tblW w:w="10773" w:type="dxa"/>
        <w:tblInd w:w="15" w:type="dxa"/>
        <w:tblCellMar>
          <w:left w:w="108" w:type="dxa"/>
          <w:right w:w="108" w:type="dxa"/>
        </w:tblCellMar>
        <w:tblLook w:val="0000" w:firstRow="0" w:lastRow="0" w:firstColumn="0" w:lastColumn="0" w:noHBand="0" w:noVBand="0"/>
      </w:tblPr>
      <w:tblGrid>
        <w:gridCol w:w="5103"/>
        <w:gridCol w:w="5670"/>
      </w:tblGrid>
      <w:tr>
        <w:trPr>
          <w:trHeight w:val="410"/>
        </w:trPr>
        <w:tc>
          <w:tcPr>
            <w:gridSpan w:val="2"/>
            <w:shd w:val="clear" w:color="auto" w:fill="B7DDE8"/>
            <w:tcBorders>
              <w:left w:val="single" w:color="000001" w:sz="12" w:space="0"/>
              <w:top w:val="single" w:color="000001" w:sz="12" w:space="0"/>
              <w:right w:val="single" w:color="000001" w:sz="12" w:space="0"/>
              <w:bottom w:val="single" w:color="000001" w:sz="6" w:space="0"/>
            </w:tcBorders>
            <w:tcW w:w="10772" w:type="dxa"/>
            <w:vAlign w:val="center"/>
            <w:textDirection w:val="lrTb"/>
            <w:noWrap w:val="false"/>
          </w:tcPr>
          <w:p>
            <w:pPr>
              <w:ind w:left="360"/>
              <w:jc w:val="center"/>
              <w:rPr>
                <w:rFonts w:ascii="Calibri" w:hAnsi="Calibri" w:cs="Calibri" w:eastAsia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Présentation du contexte professionnel</w:t>
            </w:r>
            <w:r/>
          </w:p>
        </w:tc>
      </w:tr>
      <w:tr>
        <w:trPr>
          <w:trHeight w:val="520"/>
        </w:trPr>
        <w:tc>
          <w:tcPr>
            <w:gridSpan w:val="2"/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10772" w:type="dxa"/>
            <w:vAlign w:val="center"/>
            <w:textDirection w:val="lrTb"/>
            <w:noWrap w:val="false"/>
          </w:tcPr>
          <w:p>
            <w:pPr>
              <w:rPr>
                <w:rFonts w:ascii="Calibri" w:hAnsi="Calibri" w:cs="Calibri" w:eastAsia="Calibri"/>
                <w:sz w:val="20"/>
                <w:szCs w:val="20"/>
              </w:rPr>
            </w:pPr>
            <w:r/>
            <w:bookmarkStart w:id="2" w:name="_gshqk6y363rx"/>
            <w:r/>
            <w:bookmarkEnd w:id="2"/>
            <w:r>
              <w:rPr>
                <w:rFonts w:ascii="Calibri" w:hAnsi="Calibri" w:cs="Calibri" w:eastAsia="Calibri"/>
                <w:sz w:val="20"/>
                <w:szCs w:val="20"/>
              </w:rPr>
              <w:t xml:space="preserve">Modifier les réseaux hydrauliques et électriques afin de préparer la prémise en service et la mise en service de l’installation.</w:t>
            </w:r>
            <w:r/>
          </w:p>
        </w:tc>
      </w:tr>
      <w:tr>
        <w:trPr>
          <w:trHeight w:val="296"/>
        </w:trPr>
        <w:tc>
          <w:tcPr>
            <w:gridSpan w:val="2"/>
            <w:shd w:val="clear" w:color="auto" w:fill="B7DDE8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1077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Éléments à retenir</w:t>
            </w:r>
            <w:r/>
          </w:p>
        </w:tc>
      </w:tr>
      <w:tr>
        <w:trPr>
          <w:trHeight w:val="580"/>
        </w:trPr>
        <w:tc>
          <w:tcPr>
            <w:gridSpan w:val="2"/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10772" w:type="dxa"/>
            <w:textDirection w:val="lrTb"/>
            <w:noWrap w:val="false"/>
          </w:tcPr>
          <w:p>
            <w:pPr>
              <w:jc w:val="center"/>
              <w:spacing w:lineRule="auto" w:line="276"/>
              <w:widowControl w:val="off"/>
              <w:rPr>
                <w:rFonts w:ascii="Calibri" w:hAnsi="Calibri" w:cs="Calibri" w:eastAsia="Arial"/>
                <w:color w:val="000000"/>
                <w:sz w:val="18"/>
                <w:szCs w:val="16"/>
                <w:u w:val="single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6"/>
                <w:u w:val="single"/>
              </w:rPr>
              <w:t xml:space="preserve">A l’issue de la séquence, l’élève sera capable de :</w:t>
            </w:r>
            <w:r/>
          </w:p>
          <w:p>
            <w:pPr>
              <w:numPr>
                <w:ilvl w:val="0"/>
                <w:numId w:val="7"/>
              </w:numPr>
              <w:contextualSpacing w:val="true"/>
              <w:spacing w:lineRule="auto" w:line="276"/>
              <w:widowControl w:val="off"/>
              <w:rPr>
                <w:rFonts w:ascii="Calibri" w:hAnsi="Calibri" w:cs="Calibri" w:eastAsia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  <w:t xml:space="preserve">Réceptionner et vérifier les matériels</w:t>
            </w:r>
            <w:r/>
          </w:p>
          <w:p>
            <w:pPr>
              <w:numPr>
                <w:ilvl w:val="0"/>
                <w:numId w:val="7"/>
              </w:numPr>
              <w:contextualSpacing w:val="true"/>
              <w:spacing w:lineRule="auto" w:line="276"/>
              <w:widowControl w:val="off"/>
              <w:rPr>
                <w:rFonts w:ascii="Calibri" w:hAnsi="Calibri" w:cs="Calibri" w:eastAsia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  <w:t xml:space="preserve">Réaliser des modifications sur les</w:t>
            </w: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  <w:t xml:space="preserve">réseaux fluidiques</w:t>
            </w:r>
            <w:r/>
          </w:p>
          <w:p>
            <w:pPr>
              <w:numPr>
                <w:ilvl w:val="0"/>
                <w:numId w:val="7"/>
              </w:numPr>
              <w:contextualSpacing w:val="true"/>
              <w:spacing w:lineRule="auto" w:line="276"/>
              <w:widowControl w:val="off"/>
              <w:rPr>
                <w:rFonts w:ascii="Calibri" w:hAnsi="Calibri" w:cs="Calibri" w:eastAsia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  <w:t xml:space="preserve">Câbler, raccorder les équipements</w:t>
            </w: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  <w:t xml:space="preserve">électriques</w:t>
            </w:r>
            <w:r/>
          </w:p>
          <w:p>
            <w:pPr>
              <w:numPr>
                <w:ilvl w:val="0"/>
                <w:numId w:val="7"/>
              </w:numPr>
              <w:contextualSpacing w:val="true"/>
              <w:spacing w:lineRule="auto" w:line="276"/>
              <w:widowControl w:val="off"/>
              <w:rPr>
                <w:rFonts w:ascii="Calibri" w:hAnsi="Calibri" w:cs="Calibri" w:eastAsia="Arial"/>
                <w:color w:val="000000"/>
                <w:sz w:val="16"/>
                <w:szCs w:val="16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  <w:t xml:space="preserve">Agir de manière éco-responsable</w:t>
            </w:r>
            <w:r/>
          </w:p>
        </w:tc>
      </w:tr>
      <w:tr>
        <w:trPr>
          <w:trHeight w:val="440"/>
        </w:trPr>
        <w:tc>
          <w:tcPr>
            <w:shd w:val="clear" w:color="auto" w:fill="B7DDE8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W w:w="51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Liens avec les autres disciplines</w:t>
            </w:r>
            <w:r/>
          </w:p>
        </w:tc>
        <w:tc>
          <w:tcPr>
            <w:shd w:val="clear" w:color="auto" w:fill="B7DDE8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56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Modalités d’évaluation</w:t>
            </w:r>
            <w:r/>
          </w:p>
        </w:tc>
      </w:tr>
      <w:tr>
        <w:trPr>
          <w:trHeight w:val="590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12" w:space="0"/>
            </w:tcBorders>
            <w:tcW w:w="51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Enseignement de Français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12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5669" w:type="dxa"/>
            <w:textDirection w:val="lrTb"/>
            <w:noWrap w:val="false"/>
          </w:tcPr>
          <w:p>
            <w:pPr>
              <w:jc w:val="both"/>
              <w:rPr>
                <w:rFonts w:ascii="Calibri" w:hAnsi="Calibri" w:cs="Calibri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</w:r>
            <w:r/>
          </w:p>
          <w:p>
            <w:pPr>
              <w:jc w:val="center"/>
              <w:rPr>
                <w:rFonts w:ascii="Calibri" w:hAnsi="Calibri" w:cs="Calibri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Évaluation formative</w:t>
            </w:r>
            <w:r/>
          </w:p>
        </w:tc>
      </w:tr>
    </w:tbl>
    <w:p>
      <w:pPr>
        <w:rPr>
          <w:rFonts w:ascii="Calibri" w:hAnsi="Calibri" w:cs="Calibri"/>
        </w:rPr>
      </w:pPr>
      <w:r>
        <w:rPr>
          <w:rFonts w:ascii="Calibri" w:hAnsi="Calibri" w:cs="Calibri"/>
        </w:rPr>
      </w:r>
      <w:r/>
    </w:p>
    <w:tbl>
      <w:tblPr>
        <w:tblStyle w:val="655"/>
        <w:tblW w:w="10773" w:type="dxa"/>
        <w:tblInd w:w="15" w:type="dxa"/>
        <w:tblCellMar>
          <w:left w:w="108" w:type="dxa"/>
          <w:right w:w="108" w:type="dxa"/>
        </w:tblCellMar>
        <w:tblLook w:val="0000" w:firstRow="0" w:lastRow="0" w:firstColumn="0" w:lastColumn="0" w:noHBand="0" w:noVBand="0"/>
      </w:tblPr>
      <w:tblGrid>
        <w:gridCol w:w="2409"/>
        <w:gridCol w:w="1701"/>
        <w:gridCol w:w="1937"/>
        <w:gridCol w:w="1890"/>
        <w:gridCol w:w="2836"/>
      </w:tblGrid>
      <w:tr>
        <w:trPr>
          <w:trHeight w:val="389"/>
        </w:trPr>
        <w:tc>
          <w:tcPr>
            <w:gridSpan w:val="5"/>
            <w:shd w:val="clear" w:color="auto" w:fill="B7DDE8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1077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Déroulement de la séquence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Questionnement pour mettre en réflexion les élèves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Démarche Pédagogique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93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Activités élèves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189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Ressources – Matériels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Conclusion - Bilan</w:t>
            </w:r>
            <w:r/>
          </w:p>
        </w:tc>
      </w:tr>
      <w:tr>
        <w:trPr>
          <w:trHeight w:val="1778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09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Comment </w:t>
            </w: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gérer les approvisionnement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701" w:type="dxa"/>
            <w:vAlign w:val="center"/>
            <w:textDirection w:val="lrTb"/>
            <w:noWrap w:val="false"/>
          </w:tcPr>
          <w:p>
            <w:pPr>
              <w:ind w:left="93" w:right="74"/>
              <w:jc w:val="center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Démarche déductive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937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Lister et </w:t>
            </w: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contrôler le bon de livraison.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Indiquer les reliquats éventuels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1890" w:type="dxa"/>
            <w:vAlign w:val="center"/>
            <w:textDirection w:val="lrTb"/>
            <w:noWrap w:val="false"/>
          </w:tcPr>
          <w:p>
            <w:pPr>
              <w:ind w:left="13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Bon de livraison.</w:t>
            </w:r>
            <w:r/>
          </w:p>
          <w:p>
            <w:pPr>
              <w:ind w:left="13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Matériels et équipements nécessaires à la réalisation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36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Les bons de livraison sont identifiés et complétés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Les reliquats </w:t>
            </w: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éventuels sont relevés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</w:r>
            <w:r/>
          </w:p>
        </w:tc>
      </w:tr>
      <w:tr>
        <w:trPr>
          <w:trHeight w:val="1511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09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Comment procéder pour effectuer les modifications électriques et hydraulique de l’installation ?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701" w:type="dxa"/>
            <w:vAlign w:val="center"/>
            <w:textDirection w:val="lrTb"/>
            <w:noWrap w:val="false"/>
          </w:tcPr>
          <w:p>
            <w:pPr>
              <w:ind w:left="48" w:right="72"/>
              <w:jc w:val="center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Méthode expérientielle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937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Réaliser les opérations de modification en respectant le protocole établi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1890" w:type="dxa"/>
            <w:vAlign w:val="center"/>
            <w:textDirection w:val="lrTb"/>
            <w:noWrap w:val="false"/>
          </w:tcPr>
          <w:p>
            <w:pPr>
              <w:ind w:left="132"/>
              <w:rPr>
                <w:rFonts w:ascii="Calibri" w:hAnsi="Calibri" w:cs="Calibri"/>
                <w:color w:val="auto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Matériels, outillages et équipements nécessaires à la réalisation</w:t>
            </w:r>
            <w:r>
              <w:rPr>
                <w:rFonts w:ascii="Calibri" w:hAnsi="Calibri" w:cs="Calibri"/>
                <w:color w:val="auto"/>
              </w:rPr>
              <w:t xml:space="preserve">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36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Le suivi du protocole établi permet la modification électrique et hydraulique du système.</w:t>
            </w:r>
            <w:r/>
          </w:p>
        </w:tc>
      </w:tr>
      <w:tr>
        <w:trPr>
          <w:trHeight w:val="1511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09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Comment </w:t>
            </w: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assurer la sécurité des biens et des personnes ?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701" w:type="dxa"/>
            <w:vAlign w:val="center"/>
            <w:textDirection w:val="lrTb"/>
            <w:noWrap w:val="false"/>
          </w:tcPr>
          <w:p>
            <w:pPr>
              <w:ind w:left="65"/>
              <w:jc w:val="center"/>
              <w:rPr>
                <w:rFonts w:ascii="Calibri" w:hAnsi="Calibri" w:cs="Calibri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Méthode expérientielle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937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Lister les dangers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1890" w:type="dxa"/>
            <w:vAlign w:val="center"/>
            <w:textDirection w:val="lrTb"/>
            <w:noWrap w:val="false"/>
          </w:tcPr>
          <w:p>
            <w:pPr>
              <w:ind w:left="13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EPI, EPC </w:t>
            </w: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et EIS ;</w:t>
            </w:r>
            <w:r/>
          </w:p>
          <w:p>
            <w:pPr>
              <w:ind w:left="13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Texte de la réglementation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36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Les risques sont listés</w:t>
            </w:r>
            <w:r/>
          </w:p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L’intervention est réalisée en toute sécurité </w:t>
            </w:r>
            <w:r/>
          </w:p>
        </w:tc>
      </w:tr>
      <w:tr>
        <w:trPr>
          <w:trHeight w:val="1511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09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Comment </w:t>
            </w: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gérer les déchets</w:t>
            </w: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 ?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701" w:type="dxa"/>
            <w:vAlign w:val="center"/>
            <w:textDirection w:val="lrTb"/>
            <w:noWrap w:val="false"/>
          </w:tcPr>
          <w:p>
            <w:pPr>
              <w:ind w:left="48" w:right="72"/>
              <w:jc w:val="center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Méthode 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inductive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937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Identifier les différents types de déchets.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1890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Textes réglementaires 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Espace de recyclage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36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Les déchets sont évacués dans le respect de la réglementation.</w:t>
            </w:r>
            <w:r/>
          </w:p>
        </w:tc>
      </w:tr>
    </w:tbl>
    <w:p>
      <w:pPr>
        <w:rPr>
          <w:rFonts w:ascii="Calibri" w:hAnsi="Calibri" w:cs="Calibri"/>
        </w:rPr>
      </w:pPr>
      <w:r>
        <w:rPr>
          <w:rFonts w:ascii="Calibri" w:hAnsi="Calibri" w:cs="Calibri"/>
        </w:rPr>
      </w:r>
      <w:r/>
    </w:p>
    <w:p>
      <w:pPr>
        <w:rPr>
          <w:rFonts w:ascii="Calibri" w:hAnsi="Calibri" w:cs="Calibri"/>
        </w:rPr>
      </w:pPr>
      <w:r>
        <w:rPr>
          <w:rFonts w:ascii="Calibri" w:hAnsi="Calibri" w:cs="Calibri"/>
        </w:rPr>
      </w:r>
      <w:r/>
    </w:p>
    <w:p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  <w:r/>
    </w:p>
    <w:p>
      <w:pPr>
        <w:rPr>
          <w:rFonts w:ascii="Calibri" w:hAnsi="Calibri" w:cs="Calibri"/>
        </w:rPr>
      </w:pPr>
      <w:r>
        <w:rPr>
          <w:rFonts w:ascii="Calibri" w:hAnsi="Calibri" w:cs="Calibri"/>
        </w:rPr>
      </w:r>
      <w:r/>
    </w:p>
    <w:p>
      <w:pPr>
        <w:rPr>
          <w:rFonts w:ascii="Calibri" w:hAnsi="Calibri" w:cs="Calibri"/>
        </w:rPr>
      </w:pPr>
      <w:r>
        <w:rPr>
          <w:rFonts w:ascii="Calibri" w:hAnsi="Calibri" w:cs="Calibri"/>
        </w:rPr>
      </w:r>
      <w:r/>
    </w:p>
    <w:tbl>
      <w:tblPr>
        <w:tblStyle w:val="655"/>
        <w:tblW w:w="10773" w:type="dxa"/>
        <w:tblInd w:w="57" w:type="dxa"/>
        <w:tblCellMar>
          <w:left w:w="57" w:type="dxa"/>
          <w:right w:w="108" w:type="dxa"/>
        </w:tblCellMar>
        <w:tblLook w:val="0000" w:firstRow="0" w:lastRow="0" w:firstColumn="0" w:lastColumn="0" w:noHBand="0" w:noVBand="0"/>
      </w:tblPr>
      <w:tblGrid>
        <w:gridCol w:w="4677"/>
        <w:gridCol w:w="6096"/>
      </w:tblGrid>
      <w:tr>
        <w:trPr>
          <w:trHeight w:val="397"/>
        </w:trPr>
        <w:tc>
          <w:tcPr>
            <w:gridSpan w:val="2"/>
            <w:shd w:val="clear" w:color="auto" w:fill="B7DDE8"/>
            <w:tcBorders>
              <w:left w:val="single" w:color="000001" w:sz="12" w:space="0"/>
              <w:top w:val="single" w:color="000001" w:sz="12" w:space="0"/>
              <w:right w:val="single" w:color="000001" w:sz="12" w:space="0"/>
              <w:bottom w:val="single" w:color="000001" w:sz="6" w:space="0"/>
            </w:tcBorders>
            <w:tcW w:w="10772" w:type="dxa"/>
            <w:vAlign w:val="center"/>
            <w:textDirection w:val="lrTb"/>
            <w:noWrap w:val="false"/>
          </w:tcPr>
          <w:p>
            <w:pPr>
              <w:jc w:val="center"/>
              <w:spacing w:before="120"/>
              <w:rPr>
                <w:rFonts w:ascii="Calibri" w:hAnsi="Calibri" w:cs="Calibri" w:eastAsia="Calibri"/>
                <w:b/>
                <w:color w:val="000000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36"/>
                <w:szCs w:val="36"/>
              </w:rPr>
              <w:t xml:space="preserve">FICHE PÉDAGOGIQUE DE LA SÉQUENCE n°3</w:t>
            </w:r>
            <w:r/>
          </w:p>
        </w:tc>
      </w:tr>
      <w:tr>
        <w:trPr>
          <w:trHeight w:val="666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W w:w="4677" w:type="dxa"/>
            <w:vMerge w:val="restart"/>
            <w:textDirection w:val="lrTb"/>
            <w:noWrap w:val="false"/>
          </w:tcPr>
          <w:p>
            <w:pPr>
              <w:jc w:val="center"/>
              <w:spacing w:lineRule="auto" w:line="360"/>
              <w:rPr>
                <w:rFonts w:ascii="Calibri" w:hAnsi="Calibri" w:cs="Calibri" w:eastAsia="Calibri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object w:dxaOrig="28841" w:dyaOrig="12313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" o:spid="_x0000_s4" type="#_x0000_t75" style="mso-wrap-distance-left:0.0pt;mso-wrap-distance-top:0.0pt;mso-wrap-distance-right:0.0pt;mso-wrap-distance-bottom:0.0pt;width:195.8pt;height:93.8pt;" filled="f" stroked="f">
                  <v:path textboxrect="0,0,0,0"/>
                  <v:imagedata r:id="rId10" o:title=""/>
                </v:shape>
                <o:OLEObject DrawAspect="Content" r:id="rId11" ObjectID="_1525044" ProgID="PBrush" ShapeID="_x0000_i4" Type="Embed"/>
              </w:object>
            </w:r>
            <w:r/>
          </w:p>
          <w:p>
            <w:pPr>
              <w:jc w:val="both"/>
              <w:spacing w:lineRule="auto" w:line="360"/>
              <w:rPr>
                <w:rFonts w:ascii="Calibri" w:hAnsi="Calibri" w:cs="Calibri" w:eastAsia="Calibri"/>
                <w:b/>
                <w:color w:val="FF9900"/>
                <w:sz w:val="20"/>
                <w:szCs w:val="18"/>
              </w:rPr>
            </w:pPr>
            <w:r>
              <w:rPr>
                <w:rFonts w:ascii="Calibri" w:hAnsi="Calibri" w:cs="Calibri" w:eastAsia="Calibri"/>
                <w:b/>
                <w:color w:val="FF9900"/>
                <w:sz w:val="20"/>
                <w:szCs w:val="18"/>
              </w:rPr>
              <w:t xml:space="preserve">Après avoir réalisé les opérations de modification hydraulique et</w:t>
            </w:r>
            <w:r>
              <w:rPr>
                <w:rFonts w:ascii="Calibri" w:hAnsi="Calibri" w:cs="Calibri" w:eastAsia="Calibri"/>
                <w:b/>
                <w:color w:val="FF9900"/>
                <w:sz w:val="20"/>
                <w:szCs w:val="18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FF9900"/>
                <w:sz w:val="20"/>
                <w:szCs w:val="18"/>
              </w:rPr>
              <w:t xml:space="preserve">électrique vous devez réaliser la p</w:t>
            </w:r>
            <w:r>
              <w:rPr>
                <w:rFonts w:ascii="Calibri" w:hAnsi="Calibri" w:cs="Calibri" w:eastAsia="Calibri"/>
                <w:b/>
                <w:color w:val="FF9900"/>
                <w:sz w:val="20"/>
                <w:szCs w:val="18"/>
              </w:rPr>
              <w:t xml:space="preserve">ré</w:t>
            </w:r>
            <w:r>
              <w:rPr>
                <w:rFonts w:ascii="Calibri" w:hAnsi="Calibri" w:cs="Calibri" w:eastAsia="Calibri"/>
                <w:b/>
                <w:color w:val="FF9900"/>
                <w:sz w:val="20"/>
                <w:szCs w:val="18"/>
              </w:rPr>
              <w:t xml:space="preserve">mise en service </w:t>
            </w:r>
            <w:r>
              <w:rPr>
                <w:rFonts w:ascii="Calibri" w:hAnsi="Calibri" w:cs="Calibri" w:eastAsia="Calibri"/>
                <w:b/>
                <w:color w:val="FF9900"/>
                <w:sz w:val="20"/>
                <w:szCs w:val="18"/>
              </w:rPr>
              <w:t xml:space="preserve">(sans la PAC) </w:t>
            </w:r>
            <w:r>
              <w:rPr>
                <w:rFonts w:ascii="Calibri" w:hAnsi="Calibri" w:cs="Calibri" w:eastAsia="Calibri"/>
                <w:b/>
                <w:color w:val="FF9900"/>
                <w:sz w:val="20"/>
                <w:szCs w:val="18"/>
              </w:rPr>
              <w:t xml:space="preserve">puis la mise en service de</w:t>
            </w:r>
            <w:r>
              <w:rPr>
                <w:rFonts w:ascii="Calibri" w:hAnsi="Calibri" w:cs="Calibri" w:eastAsia="Calibri"/>
                <w:b/>
                <w:color w:val="FF9900"/>
                <w:sz w:val="20"/>
                <w:szCs w:val="18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FF9900"/>
                <w:sz w:val="20"/>
                <w:szCs w:val="18"/>
              </w:rPr>
              <w:t xml:space="preserve">l’installation</w:t>
            </w:r>
            <w:r>
              <w:rPr>
                <w:rFonts w:ascii="Calibri" w:hAnsi="Calibri" w:cs="Calibri" w:eastAsia="Calibri"/>
                <w:b/>
                <w:color w:val="FF9900"/>
                <w:sz w:val="20"/>
                <w:szCs w:val="18"/>
              </w:rPr>
              <w:t xml:space="preserve"> (avec la PAC)</w:t>
            </w:r>
            <w:r>
              <w:rPr>
                <w:rFonts w:ascii="Calibri" w:hAnsi="Calibri" w:cs="Calibri" w:eastAsia="Calibri"/>
                <w:b/>
                <w:color w:val="FF9900"/>
                <w:sz w:val="20"/>
                <w:szCs w:val="18"/>
              </w:rPr>
              <w:t xml:space="preserve">.</w:t>
            </w:r>
            <w:r/>
          </w:p>
          <w:p>
            <w:pPr>
              <w:jc w:val="both"/>
              <w:spacing w:lineRule="auto" w:line="360"/>
              <w:rPr>
                <w:rFonts w:ascii="Calibri" w:hAnsi="Calibri" w:cs="Calibri" w:eastAsia="Calibri"/>
                <w:b/>
                <w:color w:val="FF9900"/>
                <w:sz w:val="20"/>
                <w:szCs w:val="18"/>
              </w:rPr>
            </w:pPr>
            <w:r>
              <w:rPr>
                <w:rFonts w:ascii="Calibri" w:hAnsi="Calibri" w:cs="Calibri" w:eastAsia="Calibri"/>
                <w:b/>
                <w:color w:val="FF9900"/>
                <w:sz w:val="20"/>
                <w:szCs w:val="18"/>
              </w:rPr>
              <w:t xml:space="preserve">N’oubliez pas que le client a signé un devis de travaux supplémentaires où il</w:t>
            </w:r>
            <w:r>
              <w:rPr>
                <w:rFonts w:ascii="Calibri" w:hAnsi="Calibri" w:cs="Calibri" w:eastAsia="Calibri"/>
                <w:b/>
                <w:color w:val="FF9900"/>
                <w:sz w:val="20"/>
                <w:szCs w:val="18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FF9900"/>
                <w:sz w:val="20"/>
                <w:szCs w:val="18"/>
              </w:rPr>
              <w:t xml:space="preserve">souhaite piloter l’installation grâce à deux thermostats d’ambiance sans fil sur</w:t>
            </w:r>
            <w:r>
              <w:rPr>
                <w:rFonts w:ascii="Calibri" w:hAnsi="Calibri" w:cs="Calibri" w:eastAsia="Calibri"/>
                <w:b/>
                <w:color w:val="FF9900"/>
                <w:sz w:val="20"/>
                <w:szCs w:val="18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FF9900"/>
                <w:sz w:val="20"/>
                <w:szCs w:val="18"/>
              </w:rPr>
              <w:t xml:space="preserve">chacune des zones. Le système </w:t>
            </w:r>
            <w:r>
              <w:rPr>
                <w:rFonts w:ascii="Calibri" w:hAnsi="Calibri" w:cs="Calibri" w:eastAsia="Calibri"/>
                <w:b/>
                <w:color w:val="FF9900"/>
                <w:sz w:val="20"/>
                <w:szCs w:val="18"/>
              </w:rPr>
              <w:t xml:space="preserve">est</w:t>
            </w:r>
            <w:r>
              <w:rPr>
                <w:rFonts w:ascii="Calibri" w:hAnsi="Calibri" w:cs="Calibri" w:eastAsia="Calibri"/>
                <w:b/>
                <w:color w:val="FF9900"/>
                <w:sz w:val="20"/>
                <w:szCs w:val="18"/>
              </w:rPr>
              <w:t xml:space="preserve"> raccordé au gaz de ville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6095" w:type="dxa"/>
            <w:vAlign w:val="center"/>
            <w:textDirection w:val="lrTb"/>
            <w:noWrap w:val="false"/>
          </w:tcPr>
          <w:p>
            <w:pPr>
              <w:pStyle w:val="575"/>
              <w:numPr>
                <w:ilvl w:val="0"/>
                <w:numId w:val="11"/>
              </w:numPr>
              <w:jc w:val="center"/>
              <w:spacing w:after="40"/>
              <w:tabs>
                <w:tab w:val="left" w:pos="0" w:leader="none"/>
              </w:tabs>
              <w:rPr>
                <w:rFonts w:ascii="Calibri" w:hAnsi="Calibri" w:cs="Calibri" w:eastAsia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i/>
                <w:color w:val="000000"/>
                <w:sz w:val="18"/>
                <w:szCs w:val="18"/>
              </w:rPr>
              <w:t xml:space="preserve">Problématique</w:t>
            </w:r>
            <w:r/>
          </w:p>
          <w:p>
            <w:pPr>
              <w:jc w:val="center"/>
              <w:rPr>
                <w:rFonts w:ascii="Calibri" w:hAnsi="Calibri" w:cs="Calibri"/>
                <w:color w:val="auto"/>
              </w:rPr>
            </w:pPr>
            <w:r>
              <w:rPr>
                <w:rFonts w:ascii="Calibri" w:hAnsi="Calibri" w:cs="Calibri"/>
                <w:b/>
                <w:bCs/>
                <w:color w:val="F79646" w:themeColor="accent6"/>
              </w:rPr>
              <w:t xml:space="preserve">Comment mettre en service une installation et optimiser son efficacité énergétique ?</w:t>
            </w:r>
            <w:r/>
          </w:p>
        </w:tc>
      </w:tr>
      <w:tr>
        <w:trPr>
          <w:trHeight w:val="1383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12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4677" w:type="dxa"/>
            <w:vMerge w:val="continue"/>
            <w:textDirection w:val="lrTb"/>
            <w:noWrap w:val="false"/>
          </w:tcPr>
          <w:p>
            <w:pPr>
              <w:spacing w:lineRule="auto" w:line="276"/>
              <w:widowControl w:val="off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12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6095" w:type="dxa"/>
            <w:vAlign w:val="center"/>
            <w:textDirection w:val="lrTb"/>
            <w:noWrap w:val="false"/>
          </w:tcPr>
          <w:p>
            <w:pPr>
              <w:pStyle w:val="575"/>
              <w:numPr>
                <w:ilvl w:val="0"/>
                <w:numId w:val="11"/>
              </w:numPr>
              <w:jc w:val="center"/>
              <w:spacing w:after="40" w:before="40"/>
              <w:tabs>
                <w:tab w:val="left" w:pos="0" w:leader="none"/>
              </w:tabs>
              <w:rPr>
                <w:rFonts w:ascii="Calibri" w:hAnsi="Calibri" w:cs="Calibri" w:eastAsia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i/>
                <w:color w:val="000000"/>
                <w:sz w:val="18"/>
                <w:szCs w:val="18"/>
              </w:rPr>
              <w:t xml:space="preserve">Positionnement sur la classe de seconde</w:t>
            </w:r>
            <w:r/>
          </w:p>
          <w:p>
            <w:pPr>
              <w:pStyle w:val="575"/>
              <w:numPr>
                <w:ilvl w:val="0"/>
                <w:numId w:val="11"/>
              </w:numPr>
              <w:ind w:left="387"/>
              <w:jc w:val="center"/>
              <w:spacing w:after="40" w:before="40"/>
              <w:tabs>
                <w:tab w:val="left" w:pos="387" w:leader="none"/>
              </w:tabs>
              <w:rPr>
                <w:rFonts w:ascii="Calibri" w:hAnsi="Calibri" w:cs="Calibri" w:eastAsia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i/>
                <w:color w:val="000000"/>
                <w:sz w:val="18"/>
                <w:szCs w:val="18"/>
              </w:rPr>
              <w:t xml:space="preserve">Début d’année                                                                               Fin d’année</w:t>
            </w:r>
            <w:r/>
          </w:p>
          <w:tbl>
            <w:tblPr>
              <w:tblStyle w:val="656"/>
              <w:tblW w:w="5295" w:type="dxa"/>
              <w:tblInd w:w="548" w:type="dxa"/>
              <w:tblCellMar>
                <w:right w:w="0" w:type="dxa"/>
              </w:tblCellMar>
              <w:tblLook w:val="0400" w:firstRow="0" w:lastRow="0" w:firstColumn="0" w:lastColumn="0" w:noHBand="0" w:noVBand="1"/>
            </w:tblPr>
            <w:tblGrid>
              <w:gridCol w:w="435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</w:tblGrid>
            <w:tr>
              <w:trPr/>
              <w:tc>
                <w:tcPr>
                  <w:shd w:val="clear" w:color="auto" w:fill="auto"/>
                  <w:tcBorders>
                    <w:left w:val="single" w:color="000000" w:sz="8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434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rFonts w:ascii="Calibri" w:hAnsi="Calibri" w:cs="Calibri"/>
                      <w:color w:val="000000"/>
                      <w:highlight w:val="darkBlue"/>
                    </w:rPr>
                  </w:pPr>
                  <w:r>
                    <w:rPr>
                      <w:rFonts w:ascii="Calibri" w:hAnsi="Calibri" w:cs="Calibri"/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rFonts w:ascii="Calibri" w:hAnsi="Calibri" w:cs="Calibri"/>
                      <w:color w:val="000000"/>
                      <w:highlight w:val="darkBlue"/>
                    </w:rPr>
                  </w:pPr>
                  <w:r>
                    <w:rPr>
                      <w:rFonts w:ascii="Calibri" w:hAnsi="Calibri" w:cs="Calibri"/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rFonts w:ascii="Calibri" w:hAnsi="Calibri" w:cs="Calibri"/>
                      <w:color w:val="000000"/>
                      <w:highlight w:val="darkBlue"/>
                    </w:rPr>
                  </w:pPr>
                  <w:r>
                    <w:rPr>
                      <w:rFonts w:ascii="Calibri" w:hAnsi="Calibri" w:cs="Calibri"/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00B050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rFonts w:ascii="Calibri" w:hAnsi="Calibri" w:cs="Calibri"/>
                      <w:color w:val="000000"/>
                      <w:highlight w:val="darkBlue"/>
                    </w:rPr>
                  </w:pPr>
                  <w:r>
                    <w:rPr>
                      <w:rFonts w:ascii="Calibri" w:hAnsi="Calibri" w:cs="Calibri"/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00B050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shd w:val="clear" w:color="auto" w:fill="00B050"/>
                    <w:tabs>
                      <w:tab w:val="left" w:pos="387" w:leader="none"/>
                    </w:tabs>
                    <w:rPr>
                      <w:rFonts w:ascii="Calibri" w:hAnsi="Calibri" w:cs="Calibri"/>
                      <w:color w:val="000000"/>
                      <w:highlight w:val="darkBlue"/>
                    </w:rPr>
                  </w:pPr>
                  <w:r>
                    <w:rPr>
                      <w:rFonts w:ascii="Calibri" w:hAnsi="Calibri" w:cs="Calibri"/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00B050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rFonts w:ascii="Calibri" w:hAnsi="Calibri" w:cs="Calibri"/>
                      <w:color w:val="000000"/>
                      <w:highlight w:val="darkBlue"/>
                    </w:rPr>
                  </w:pPr>
                  <w:r>
                    <w:rPr>
                      <w:rFonts w:ascii="Calibri" w:hAnsi="Calibri" w:cs="Calibri"/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FFFFFF" w:themeFill="background1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rFonts w:ascii="Calibri" w:hAnsi="Calibri" w:cs="Calibri"/>
                      <w:color w:val="000000"/>
                      <w:highlight w:val="darkBlue"/>
                    </w:rPr>
                  </w:pPr>
                  <w:r>
                    <w:rPr>
                      <w:rFonts w:ascii="Calibri" w:hAnsi="Calibri" w:cs="Calibri"/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FFFFFF" w:themeFill="background1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rFonts w:ascii="Calibri" w:hAnsi="Calibri" w:cs="Calibri"/>
                      <w:color w:val="000000"/>
                      <w:highlight w:val="darkBlue"/>
                    </w:rPr>
                  </w:pPr>
                  <w:r>
                    <w:rPr>
                      <w:rFonts w:ascii="Calibri" w:hAnsi="Calibri" w:cs="Calibri"/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rFonts w:ascii="Calibri" w:hAnsi="Calibri" w:cs="Calibri"/>
                      <w:color w:val="000000"/>
                      <w:highlight w:val="darkBlue"/>
                    </w:rPr>
                  </w:pPr>
                  <w:r>
                    <w:rPr>
                      <w:rFonts w:ascii="Calibri" w:hAnsi="Calibri" w:cs="Calibri"/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8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rFonts w:ascii="Calibri" w:hAnsi="Calibri" w:cs="Calibri"/>
                      <w:color w:val="000000"/>
                      <w:highlight w:val="darkBlue"/>
                    </w:rPr>
                  </w:pPr>
                  <w:r>
                    <w:rPr>
                      <w:rFonts w:ascii="Calibri" w:hAnsi="Calibri" w:cs="Calibri"/>
                      <w:color w:val="000000"/>
                      <w:highlight w:val="darkBlue"/>
                    </w:rPr>
                  </w:r>
                  <w:r/>
                </w:p>
              </w:tc>
            </w:tr>
          </w:tbl>
          <w:p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</w:r>
            <w:r/>
          </w:p>
        </w:tc>
      </w:tr>
    </w:tbl>
    <w:p>
      <w:pPr>
        <w:rPr>
          <w:rFonts w:ascii="Calibri" w:hAnsi="Calibri" w:cs="Calibri"/>
        </w:rPr>
      </w:pPr>
      <w:r>
        <w:rPr>
          <w:rFonts w:ascii="Calibri" w:hAnsi="Calibri" w:cs="Calibri"/>
        </w:rPr>
      </w:r>
      <w:r/>
    </w:p>
    <w:tbl>
      <w:tblPr>
        <w:tblStyle w:val="655"/>
        <w:tblW w:w="10773" w:type="dxa"/>
        <w:tblInd w:w="57" w:type="dxa"/>
        <w:tblCellMar>
          <w:left w:w="57" w:type="dxa"/>
          <w:right w:w="108" w:type="dxa"/>
        </w:tblCellMar>
        <w:tblLook w:val="0000" w:firstRow="0" w:lastRow="0" w:firstColumn="0" w:lastColumn="0" w:noHBand="0" w:noVBand="0"/>
      </w:tblPr>
      <w:tblGrid>
        <w:gridCol w:w="2267"/>
        <w:gridCol w:w="3402"/>
        <w:gridCol w:w="5104"/>
      </w:tblGrid>
      <w:tr>
        <w:trPr>
          <w:trHeight w:val="320"/>
        </w:trPr>
        <w:tc>
          <w:tcPr>
            <w:shd w:val="clear" w:color="auto" w:fill="B7DDE8"/>
            <w:tcBorders>
              <w:left w:val="single" w:color="000001" w:sz="12" w:space="0"/>
              <w:top w:val="single" w:color="000001" w:sz="12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Compétences visées</w:t>
            </w:r>
            <w:r/>
          </w:p>
        </w:tc>
        <w:tc>
          <w:tcPr>
            <w:shd w:val="clear" w:color="auto" w:fill="B7DDE8"/>
            <w:tcBorders>
              <w:left w:val="single" w:color="000001" w:sz="6" w:space="0"/>
              <w:top w:val="single" w:color="000001" w:sz="12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color w:val="000000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Critères d’évaluation</w:t>
            </w:r>
            <w:r/>
          </w:p>
        </w:tc>
        <w:tc>
          <w:tcPr>
            <w:shd w:val="clear" w:color="auto" w:fill="B7DDE8"/>
            <w:tcBorders>
              <w:left w:val="single" w:color="000001" w:sz="6" w:space="0"/>
              <w:top w:val="single" w:color="000001" w:sz="12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Savoirs associés</w:t>
            </w:r>
            <w:r/>
          </w:p>
        </w:tc>
      </w:tr>
      <w:tr>
        <w:trPr>
          <w:trHeight w:val="1478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C7.1 Contrôler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la conformité des réalisations sur les réseaux fluidiques et les installations électriques </w:t>
            </w:r>
            <w:r/>
          </w:p>
          <w:p>
            <w:pPr>
              <w:ind w:right="57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rPr>
                <w:rStyle w:val="660"/>
                <w:rFonts w:ascii="Arial" w:hAnsi="Arial" w:cs="Arial"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Les réseaux, les installations et les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contrôles sont identifiés</w:t>
            </w:r>
            <w:r/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Les contrôles des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réalisations sont effectués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et conformes aux normes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en vigueur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La sécurité des biens et des personnes est assurée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jc w:val="both"/>
              <w:rPr>
                <w:rStyle w:val="660"/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b/>
                <w:bCs/>
                <w:sz w:val="18"/>
                <w:szCs w:val="18"/>
              </w:rPr>
              <w:t xml:space="preserve">S2.1.2 - Les domaines d’action dans le cadre du développement durable.</w:t>
            </w:r>
            <w:r/>
          </w:p>
          <w:p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b/>
                <w:bCs/>
                <w:sz w:val="18"/>
                <w:szCs w:val="18"/>
              </w:rPr>
              <w:t xml:space="preserve">S2.1 - La réglementation énergétique et environnementale</w:t>
            </w:r>
            <w:r/>
          </w:p>
          <w:p>
            <w:pPr>
              <w:jc w:val="both"/>
              <w:rPr>
                <w:rStyle w:val="660"/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b/>
                <w:bCs/>
                <w:sz w:val="18"/>
                <w:szCs w:val="18"/>
              </w:rPr>
              <w:t xml:space="preserve">S2.2 - L’impact environnemental d’une activité</w:t>
            </w:r>
            <w:r/>
          </w:p>
          <w:p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b/>
                <w:bCs/>
                <w:sz w:val="18"/>
                <w:szCs w:val="18"/>
              </w:rPr>
              <w:t xml:space="preserve">S2.6 - La réglementation thermique</w:t>
            </w:r>
            <w:r/>
          </w:p>
        </w:tc>
      </w:tr>
      <w:tr>
        <w:trPr>
          <w:trHeight w:val="1420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C7.2 Appliquer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les mesures de prévention des risques professionnels</w:t>
            </w:r>
            <w:r/>
          </w:p>
          <w:p>
            <w:pPr>
              <w:ind w:right="57"/>
              <w:spacing w:after="120" w:before="120"/>
              <w:rPr>
                <w:rFonts w:ascii="Calibri" w:hAnsi="Calibri" w:cs="Calibri" w:eastAsia="Calibri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auto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Les mesures de prévention sont adaptées au contexte de l’intervention</w:t>
            </w:r>
            <w:r/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Les anomalies sont signalées à la hiérarchie</w:t>
            </w:r>
            <w:r/>
          </w:p>
          <w:p>
            <w:pPr>
              <w:ind w:right="187"/>
              <w:jc w:val="both"/>
              <w:widowControl w:val="off"/>
              <w:rPr>
                <w:rFonts w:ascii="Arial" w:hAnsi="Arial" w:cs="Arial" w:eastAsia="Arial"/>
                <w:sz w:val="18"/>
                <w:szCs w:val="18"/>
                <w:lang w:bidi="fr-FR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b/>
                <w:bCs/>
                <w:sz w:val="18"/>
                <w:szCs w:val="18"/>
              </w:rPr>
              <w:t xml:space="preserve">S2.2 - L’impact environnemental d’une activité</w:t>
            </w:r>
            <w:r/>
          </w:p>
          <w:p>
            <w:pPr>
              <w:ind w:right="187"/>
              <w:jc w:val="both"/>
              <w:widowControl w:val="off"/>
              <w:rPr>
                <w:rFonts w:ascii="Arial" w:hAnsi="Arial" w:cs="Arial" w:eastAsia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000000"/>
                <w:sz w:val="18"/>
                <w:szCs w:val="18"/>
              </w:rPr>
            </w:r>
            <w:r/>
          </w:p>
        </w:tc>
      </w:tr>
      <w:tr>
        <w:trPr>
          <w:trHeight w:val="1243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C7.5 Effectuer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la précharge du réseau fluidique du système et des réseaux de fluides frigorigènes</w:t>
            </w:r>
            <w:r/>
          </w:p>
          <w:p>
            <w:pPr>
              <w:rPr>
                <w:rFonts w:ascii="Calibri" w:hAnsi="Calibri" w:cs="Calibri"/>
                <w:sz w:val="18"/>
                <w:szCs w:val="20"/>
              </w:rPr>
            </w:pPr>
            <w:r>
              <w:rPr>
                <w:rFonts w:ascii="Calibri" w:hAnsi="Calibri" w:cs="Calibri"/>
                <w:sz w:val="18"/>
                <w:szCs w:val="20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La précharge est réalisée suivant les </w:t>
            </w: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normes en vigueur avec un niveau de guidance renforcé</w:t>
            </w:r>
            <w:r/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La précharge permet la mise en service de l’installation avec un niveau de guidance renforcé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b/>
                <w:bCs/>
                <w:sz w:val="18"/>
                <w:szCs w:val="18"/>
              </w:rPr>
              <w:t xml:space="preserve">S2.2 - L’impact environnemental d’une activité</w:t>
            </w:r>
            <w:r/>
          </w:p>
          <w:p>
            <w:pPr>
              <w:jc w:val="both"/>
              <w:rPr>
                <w:rStyle w:val="660"/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b/>
                <w:bCs/>
                <w:sz w:val="18"/>
                <w:szCs w:val="18"/>
              </w:rPr>
              <w:t xml:space="preserve">S2.3.2 - Les implications sur les bâtiments, les systèmes thermodynamiques et les fluides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</w:r>
            <w:r>
              <w:rPr>
                <w:rStyle w:val="660"/>
                <w:rFonts w:ascii="Arial" w:hAnsi="Arial" w:cs="Arial"/>
                <w:b/>
                <w:bCs/>
                <w:sz w:val="18"/>
                <w:szCs w:val="18"/>
              </w:rPr>
              <w:t xml:space="preserve">frigorigènes</w:t>
            </w:r>
            <w:r/>
          </w:p>
          <w:p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b/>
                <w:bCs/>
                <w:sz w:val="18"/>
                <w:szCs w:val="18"/>
              </w:rPr>
              <w:t xml:space="preserve">S4.2 - Les circuits thermodynamiques</w:t>
            </w:r>
            <w:r/>
          </w:p>
        </w:tc>
      </w:tr>
      <w:tr>
        <w:trPr>
          <w:trHeight w:val="1243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C7.6 Réaliser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les opérations de mise en service et/ou d’arrêt de l’installation</w:t>
            </w:r>
            <w:r/>
          </w:p>
          <w:p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Les protocoles de mise en service et/ou d’arrêt sont respectés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La sécurité des usagers et de l’installation est assurée tout au long de l’opération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Les informations sont transmises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  <w:lang w:bidi="fr-FR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jc w:val="both"/>
              <w:rPr>
                <w:rStyle w:val="660"/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b/>
                <w:bCs/>
                <w:sz w:val="18"/>
                <w:szCs w:val="18"/>
              </w:rPr>
              <w:t xml:space="preserve">S2.2 - L’impact environnemental d’une activité</w:t>
            </w:r>
            <w:r/>
          </w:p>
          <w:p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b/>
                <w:bCs/>
                <w:sz w:val="18"/>
                <w:szCs w:val="18"/>
              </w:rPr>
              <w:t xml:space="preserve">S4.2 - Les circuits thermodynamiques</w:t>
            </w:r>
            <w:r/>
          </w:p>
          <w:p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b/>
                <w:bCs/>
                <w:sz w:val="18"/>
                <w:szCs w:val="18"/>
              </w:rPr>
              <w:t xml:space="preserve">S4.3 - Les installations et équipements électriques</w:t>
            </w:r>
            <w:r/>
          </w:p>
          <w:p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b/>
                <w:bCs/>
                <w:sz w:val="18"/>
                <w:szCs w:val="18"/>
              </w:rPr>
              <w:t xml:space="preserve">S4.4 - Les réseaux hydrauliques</w:t>
            </w:r>
            <w:r/>
          </w:p>
          <w:p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b/>
                <w:bCs/>
                <w:sz w:val="18"/>
                <w:szCs w:val="18"/>
              </w:rPr>
              <w:t xml:space="preserve">S5.2 - Les essais d’étanchéité</w:t>
            </w:r>
            <w:r/>
          </w:p>
          <w:p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b/>
                <w:bCs/>
                <w:sz w:val="18"/>
                <w:szCs w:val="18"/>
              </w:rPr>
              <w:t xml:space="preserve">S6.1.2 - Vocabulaire usuel</w:t>
            </w:r>
            <w:r/>
          </w:p>
          <w:p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b/>
                <w:bCs/>
                <w:sz w:val="18"/>
                <w:szCs w:val="18"/>
              </w:rPr>
              <w:t xml:space="preserve">S6.2 - Les opérations d’exploitation, de mise en service et de maintenance</w:t>
            </w:r>
            <w:r/>
          </w:p>
        </w:tc>
      </w:tr>
      <w:tr>
        <w:trPr>
          <w:trHeight w:val="1243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C8.1 Identifier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les points de mesures sur l’installation électrique et/ou le réseau fluidique</w:t>
            </w:r>
            <w:r/>
          </w:p>
          <w:p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Les procédés de mesurages identifiés respectent les normes en vigueur et les règles de l’art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Les points de mesures identifiés sont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conformes au besoin du contrôle</w:t>
            </w:r>
            <w:r/>
          </w:p>
          <w:p>
            <w:pPr>
              <w:ind w:right="187"/>
              <w:jc w:val="both"/>
              <w:widowControl w:val="off"/>
              <w:rPr>
                <w:rFonts w:ascii="Arial" w:hAnsi="Arial" w:cs="Arial" w:eastAsia="Arial"/>
                <w:sz w:val="18"/>
                <w:szCs w:val="18"/>
                <w:lang w:bidi="fr-FR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b/>
                <w:bCs/>
                <w:sz w:val="18"/>
                <w:szCs w:val="18"/>
              </w:rPr>
              <w:t xml:space="preserve">S6.2.3 - Intervention sur un système</w:t>
            </w:r>
            <w:r/>
          </w:p>
          <w:p>
            <w:pPr>
              <w:ind w:right="187"/>
              <w:jc w:val="both"/>
              <w:widowControl w:val="off"/>
              <w:rPr>
                <w:rFonts w:ascii="Arial" w:hAnsi="Arial" w:cs="Arial" w:eastAsia="Arial"/>
                <w:b/>
                <w:bCs/>
                <w:sz w:val="18"/>
                <w:szCs w:val="18"/>
                <w:lang w:bidi="fr-FR"/>
              </w:rPr>
            </w:pPr>
            <w:r>
              <w:rPr>
                <w:rFonts w:ascii="Arial" w:hAnsi="Arial" w:cs="Arial" w:eastAsia="Arial"/>
                <w:b/>
                <w:bCs/>
                <w:sz w:val="18"/>
                <w:szCs w:val="18"/>
                <w:lang w:bidi="fr-FR"/>
              </w:rPr>
            </w:r>
            <w:r/>
          </w:p>
        </w:tc>
      </w:tr>
      <w:tr>
        <w:trPr>
          <w:trHeight w:val="1243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C8.2 Installer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des appareils de mesures et de contrôle</w:t>
            </w:r>
            <w:r/>
          </w:p>
          <w:p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ind w:right="187"/>
              <w:jc w:val="both"/>
              <w:widowControl w:val="off"/>
              <w:rPr>
                <w:rFonts w:ascii="Arial" w:hAnsi="Arial" w:cs="Arial" w:eastAsia="Arial"/>
                <w:sz w:val="18"/>
                <w:szCs w:val="18"/>
                <w:lang w:bidi="fr-FR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Les appareils sont installés en suivant les préconisations du fabricant et en respectant les normes en vigueur et les règles</w:t>
            </w: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 </w:t>
            </w: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de l’art</w:t>
            </w:r>
            <w:r/>
          </w:p>
          <w:p>
            <w:pPr>
              <w:ind w:right="187"/>
              <w:jc w:val="both"/>
              <w:widowControl w:val="off"/>
              <w:rPr>
                <w:rFonts w:ascii="Arial" w:hAnsi="Arial" w:cs="Arial" w:eastAsia="Arial"/>
                <w:sz w:val="18"/>
                <w:szCs w:val="18"/>
                <w:lang w:bidi="fr-FR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La sécurité des</w:t>
            </w: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 </w:t>
            </w: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personnes et des biens</w:t>
            </w: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 </w:t>
            </w: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est assurée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b/>
                <w:bCs/>
                <w:sz w:val="18"/>
                <w:szCs w:val="18"/>
              </w:rPr>
              <w:t xml:space="preserve">S6.2.1 - Modes opératoires et procédures</w:t>
            </w:r>
            <w:r/>
          </w:p>
          <w:p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b/>
                <w:bCs/>
                <w:sz w:val="18"/>
                <w:szCs w:val="18"/>
              </w:rPr>
              <w:t xml:space="preserve">S6.2.3 - Intervention sur un système</w:t>
            </w:r>
            <w:r/>
          </w:p>
          <w:p>
            <w:pPr>
              <w:ind w:right="187"/>
              <w:jc w:val="both"/>
              <w:widowControl w:val="off"/>
              <w:rPr>
                <w:rFonts w:ascii="Arial" w:hAnsi="Arial" w:cs="Arial" w:eastAsia="Arial"/>
                <w:b/>
                <w:bCs/>
                <w:sz w:val="18"/>
                <w:szCs w:val="18"/>
                <w:lang w:bidi="fr-FR"/>
              </w:rPr>
            </w:pPr>
            <w:r>
              <w:rPr>
                <w:rFonts w:ascii="Arial" w:hAnsi="Arial" w:cs="Arial" w:eastAsia="Arial"/>
                <w:b/>
                <w:bCs/>
                <w:sz w:val="18"/>
                <w:szCs w:val="18"/>
                <w:lang w:bidi="fr-FR"/>
              </w:rPr>
            </w:r>
            <w:r/>
          </w:p>
        </w:tc>
      </w:tr>
      <w:tr>
        <w:trPr>
          <w:trHeight w:val="1243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C8.3 Réaliser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les mesures nécessaires pour valider le fonctionnement de l’installation</w:t>
            </w:r>
            <w:r/>
          </w:p>
          <w:p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Les appareils sont utilisés en suivant les préconisations du fabricant et en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respectant les normes en vigueur et les règles de l’art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La lecture est conforme à la grandeur mesurée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La sécurité des personnes et des biens est assurée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  <w:lang w:bidi="fr-FR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b/>
                <w:bCs/>
                <w:sz w:val="18"/>
                <w:szCs w:val="18"/>
              </w:rPr>
              <w:t xml:space="preserve">S6.2 - Les opérations d’exploitation, de mise en service et de maintenance</w:t>
            </w:r>
            <w:r/>
          </w:p>
          <w:p>
            <w:pPr>
              <w:ind w:right="187"/>
              <w:jc w:val="both"/>
              <w:widowControl w:val="off"/>
              <w:rPr>
                <w:rFonts w:ascii="Arial" w:hAnsi="Arial" w:cs="Arial" w:eastAsia="Arial"/>
                <w:b/>
                <w:bCs/>
                <w:sz w:val="18"/>
                <w:szCs w:val="18"/>
                <w:lang w:bidi="fr-FR"/>
              </w:rPr>
            </w:pPr>
            <w:r>
              <w:rPr>
                <w:rFonts w:ascii="Arial" w:hAnsi="Arial" w:cs="Arial" w:eastAsia="Arial"/>
                <w:b/>
                <w:bCs/>
                <w:sz w:val="18"/>
                <w:szCs w:val="18"/>
                <w:lang w:bidi="fr-FR"/>
              </w:rPr>
            </w:r>
            <w:r/>
          </w:p>
        </w:tc>
      </w:tr>
      <w:tr>
        <w:trPr>
          <w:trHeight w:val="1243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C8.4 Traiter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les informations des mesures</w:t>
            </w:r>
            <w:r/>
          </w:p>
          <w:p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ind w:right="187"/>
              <w:jc w:val="both"/>
              <w:widowControl w:val="off"/>
              <w:rPr>
                <w:rFonts w:ascii="Arial" w:hAnsi="Arial" w:cs="Arial" w:eastAsia="Arial"/>
                <w:sz w:val="18"/>
                <w:szCs w:val="18"/>
                <w:lang w:bidi="fr-FR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Les grandeurs mesurées sont consignées dans les supports d’enregistrement</w:t>
            </w:r>
            <w:r/>
          </w:p>
          <w:p>
            <w:pPr>
              <w:ind w:right="187"/>
              <w:jc w:val="both"/>
              <w:widowControl w:val="off"/>
              <w:rPr>
                <w:rFonts w:ascii="Arial" w:hAnsi="Arial" w:cs="Arial" w:eastAsia="Arial"/>
                <w:sz w:val="18"/>
                <w:szCs w:val="18"/>
                <w:lang w:bidi="fr-FR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Les valeurs sont adaptées aux unités attendues dans les supports d’enregistrement</w:t>
            </w:r>
            <w:r/>
          </w:p>
          <w:p>
            <w:pPr>
              <w:ind w:right="187"/>
              <w:jc w:val="both"/>
              <w:widowControl w:val="off"/>
              <w:rPr>
                <w:rFonts w:ascii="Arial" w:hAnsi="Arial" w:cs="Arial" w:eastAsia="Arial"/>
                <w:sz w:val="18"/>
                <w:szCs w:val="18"/>
                <w:lang w:bidi="fr-FR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Les calculs de puissance, d’énergie, de débit, de consommation… sont réalisés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b/>
                <w:bCs/>
                <w:sz w:val="18"/>
                <w:szCs w:val="18"/>
              </w:rPr>
              <w:t xml:space="preserve">S6.2.6 - Conduite d’un système (en fonctionnement établi)</w:t>
            </w:r>
            <w:r/>
          </w:p>
          <w:p>
            <w:pPr>
              <w:ind w:right="187"/>
              <w:jc w:val="both"/>
              <w:widowControl w:val="off"/>
              <w:rPr>
                <w:rFonts w:ascii="Arial" w:hAnsi="Arial" w:cs="Arial" w:eastAsia="Arial"/>
                <w:b/>
                <w:bCs/>
                <w:sz w:val="18"/>
                <w:szCs w:val="18"/>
                <w:lang w:bidi="fr-FR"/>
              </w:rPr>
            </w:pPr>
            <w:r>
              <w:rPr>
                <w:rFonts w:ascii="Arial" w:hAnsi="Arial" w:cs="Arial" w:eastAsia="Arial"/>
                <w:b/>
                <w:bCs/>
                <w:sz w:val="18"/>
                <w:szCs w:val="18"/>
                <w:lang w:bidi="fr-FR"/>
              </w:rPr>
            </w:r>
            <w:r/>
          </w:p>
        </w:tc>
      </w:tr>
      <w:tr>
        <w:trPr>
          <w:trHeight w:val="1243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C8.5 Comparer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les grandeurs mesurées avec les grandeurs caractéristiques nominales attendues </w:t>
            </w:r>
            <w:r/>
          </w:p>
          <w:p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L’interprétation de l’écart est caractérisée</w:t>
            </w:r>
            <w:r/>
          </w:p>
          <w:p>
            <w:pPr>
              <w:ind w:right="187"/>
              <w:jc w:val="both"/>
              <w:widowControl w:val="off"/>
              <w:rPr>
                <w:rFonts w:ascii="Arial" w:hAnsi="Arial" w:cs="Arial" w:eastAsia="Arial"/>
                <w:sz w:val="18"/>
                <w:szCs w:val="18"/>
                <w:lang w:bidi="fr-FR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b/>
                <w:bCs/>
                <w:sz w:val="18"/>
                <w:szCs w:val="18"/>
              </w:rPr>
              <w:t xml:space="preserve">S4.4.1 - Les notions de mécanique des fluides</w:t>
            </w:r>
            <w:r/>
          </w:p>
          <w:p>
            <w:pPr>
              <w:ind w:right="187"/>
              <w:jc w:val="both"/>
              <w:widowControl w:val="off"/>
              <w:rPr>
                <w:rFonts w:ascii="Arial" w:hAnsi="Arial" w:cs="Arial" w:eastAsia="Arial"/>
                <w:b/>
                <w:bCs/>
                <w:sz w:val="18"/>
                <w:szCs w:val="18"/>
                <w:lang w:bidi="fr-FR"/>
              </w:rPr>
            </w:pPr>
            <w:r>
              <w:rPr>
                <w:rFonts w:ascii="Arial" w:hAnsi="Arial" w:cs="Arial" w:eastAsia="Arial"/>
                <w:b/>
                <w:bCs/>
                <w:sz w:val="18"/>
                <w:szCs w:val="18"/>
                <w:lang w:bidi="fr-FR"/>
              </w:rPr>
              <w:t xml:space="preserve">S4.2 - Les circuits thermodynamiques</w:t>
            </w:r>
            <w:r/>
          </w:p>
          <w:p>
            <w:pPr>
              <w:ind w:right="187"/>
              <w:jc w:val="both"/>
              <w:widowControl w:val="off"/>
              <w:rPr>
                <w:rFonts w:ascii="Arial" w:hAnsi="Arial" w:cs="Arial" w:eastAsia="Arial"/>
                <w:b/>
                <w:bCs/>
                <w:sz w:val="18"/>
                <w:szCs w:val="18"/>
                <w:lang w:bidi="fr-FR"/>
              </w:rPr>
            </w:pPr>
            <w:r>
              <w:rPr>
                <w:rFonts w:ascii="Arial" w:hAnsi="Arial" w:cs="Arial" w:eastAsia="Arial"/>
                <w:b/>
                <w:bCs/>
                <w:sz w:val="18"/>
                <w:szCs w:val="18"/>
                <w:lang w:bidi="fr-FR"/>
              </w:rPr>
              <w:t xml:space="preserve">S4.3 - Les installations et équipements électriques</w:t>
            </w:r>
            <w:r/>
          </w:p>
          <w:p>
            <w:pPr>
              <w:ind w:right="187"/>
              <w:jc w:val="both"/>
              <w:widowControl w:val="off"/>
              <w:rPr>
                <w:rFonts w:ascii="Arial" w:hAnsi="Arial" w:cs="Arial" w:eastAsia="Arial"/>
                <w:b/>
                <w:bCs/>
                <w:sz w:val="18"/>
                <w:szCs w:val="18"/>
                <w:lang w:bidi="fr-FR"/>
              </w:rPr>
            </w:pPr>
            <w:r>
              <w:rPr>
                <w:rFonts w:ascii="Arial" w:hAnsi="Arial" w:cs="Arial" w:eastAsia="Arial"/>
                <w:b/>
                <w:bCs/>
                <w:sz w:val="18"/>
                <w:szCs w:val="18"/>
                <w:lang w:bidi="fr-FR"/>
              </w:rPr>
              <w:t xml:space="preserve">S4.4 - Les réseaux hydrauliques</w:t>
            </w:r>
            <w:r/>
          </w:p>
        </w:tc>
      </w:tr>
      <w:tr>
        <w:trPr>
          <w:trHeight w:val="1243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C9.1 Compléter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la charge du réseau fluidique et des réseaux de fluides frigorigènes</w:t>
            </w:r>
            <w:r/>
          </w:p>
          <w:p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ind w:right="187"/>
              <w:jc w:val="both"/>
              <w:widowControl w:val="off"/>
              <w:rPr>
                <w:rFonts w:ascii="Arial" w:hAnsi="Arial" w:cs="Arial" w:eastAsia="Arial"/>
                <w:sz w:val="18"/>
                <w:szCs w:val="18"/>
                <w:lang w:bidi="fr-FR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La charge est réalisée en respectant les normes en vigueurs avec un niveau de guidance important.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jc w:val="both"/>
              <w:rPr>
                <w:rStyle w:val="660"/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b/>
                <w:bCs/>
                <w:sz w:val="18"/>
                <w:szCs w:val="18"/>
              </w:rPr>
              <w:t xml:space="preserve">S2.2 - L’impact environnemental d’une activité</w:t>
            </w:r>
            <w:r/>
          </w:p>
          <w:p>
            <w:pPr>
              <w:ind w:right="187"/>
              <w:jc w:val="both"/>
              <w:widowControl w:val="off"/>
              <w:rPr>
                <w:rFonts w:ascii="Arial" w:hAnsi="Arial" w:cs="Arial" w:eastAsia="Arial"/>
                <w:b/>
                <w:bCs/>
                <w:sz w:val="18"/>
                <w:szCs w:val="18"/>
                <w:lang w:bidi="fr-FR"/>
              </w:rPr>
            </w:pPr>
            <w:r>
              <w:rPr>
                <w:rFonts w:ascii="Arial" w:hAnsi="Arial" w:cs="Arial" w:eastAsia="Arial"/>
                <w:b/>
                <w:bCs/>
                <w:sz w:val="18"/>
                <w:szCs w:val="18"/>
                <w:lang w:bidi="fr-FR"/>
              </w:rPr>
            </w:r>
            <w:r/>
          </w:p>
        </w:tc>
      </w:tr>
      <w:tr>
        <w:trPr>
          <w:trHeight w:val="1243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C9.2 Déterminer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les réglages nécessaires pour obtenir le fonctionnement attendu du système</w:t>
            </w:r>
            <w:r/>
          </w:p>
          <w:p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L’interprétation des écarts de mesures caractérisés permettent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l’identification des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réglages nécessaires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pour valider le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fonctionnement attendu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du système</w:t>
            </w:r>
            <w:r/>
          </w:p>
          <w:p>
            <w:pPr>
              <w:ind w:right="187"/>
              <w:jc w:val="both"/>
              <w:widowControl w:val="off"/>
              <w:rPr>
                <w:rFonts w:ascii="Arial" w:hAnsi="Arial" w:cs="Arial" w:eastAsia="Arial"/>
                <w:sz w:val="18"/>
                <w:szCs w:val="18"/>
                <w:lang w:bidi="fr-FR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b/>
                <w:bCs/>
                <w:sz w:val="18"/>
                <w:szCs w:val="18"/>
              </w:rPr>
              <w:t xml:space="preserve">S6.2.6 - Conduite d’un système (en fonctionnement établi)</w:t>
            </w:r>
            <w:r/>
          </w:p>
          <w:p>
            <w:pPr>
              <w:ind w:right="187"/>
              <w:jc w:val="both"/>
              <w:widowControl w:val="off"/>
              <w:rPr>
                <w:rFonts w:ascii="Arial" w:hAnsi="Arial" w:cs="Arial" w:eastAsia="Arial"/>
                <w:b/>
                <w:bCs/>
                <w:sz w:val="18"/>
                <w:szCs w:val="18"/>
                <w:lang w:bidi="fr-FR"/>
              </w:rPr>
            </w:pPr>
            <w:r>
              <w:rPr>
                <w:rFonts w:ascii="Arial" w:hAnsi="Arial" w:cs="Arial" w:eastAsia="Arial"/>
                <w:b/>
                <w:bCs/>
                <w:sz w:val="18"/>
                <w:szCs w:val="18"/>
                <w:lang w:bidi="fr-FR"/>
              </w:rPr>
            </w:r>
            <w:r/>
          </w:p>
        </w:tc>
      </w:tr>
      <w:tr>
        <w:trPr>
          <w:trHeight w:val="1243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C9.3 Ajuster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les réglages des systèmes de régulation et de sécurité</w:t>
            </w:r>
            <w:r/>
          </w:p>
          <w:p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Les réglages permettent le fonctionnement attendu du système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Le réglage des sécurités est réalisé, justifié et précis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  <w:lang w:bidi="fr-FR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b/>
                <w:bCs/>
                <w:sz w:val="18"/>
                <w:szCs w:val="18"/>
              </w:rPr>
              <w:t xml:space="preserve">S6.2.6 - Conduite d’un système (en fonctionnement établi)</w:t>
            </w:r>
            <w:r/>
          </w:p>
          <w:p>
            <w:pPr>
              <w:ind w:right="187"/>
              <w:jc w:val="both"/>
              <w:widowControl w:val="off"/>
              <w:rPr>
                <w:rFonts w:ascii="Arial" w:hAnsi="Arial" w:cs="Arial" w:eastAsia="Arial"/>
                <w:b/>
                <w:bCs/>
                <w:sz w:val="18"/>
                <w:szCs w:val="18"/>
                <w:lang w:bidi="fr-FR"/>
              </w:rPr>
            </w:pPr>
            <w:r>
              <w:rPr>
                <w:rFonts w:ascii="Arial" w:hAnsi="Arial" w:cs="Arial" w:eastAsia="Arial"/>
                <w:b/>
                <w:bCs/>
                <w:sz w:val="18"/>
                <w:szCs w:val="18"/>
                <w:lang w:bidi="fr-FR"/>
              </w:rPr>
            </w:r>
            <w:r/>
          </w:p>
        </w:tc>
      </w:tr>
      <w:tr>
        <w:trPr>
          <w:trHeight w:val="1243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/>
                <w:sz w:val="18"/>
                <w:szCs w:val="18"/>
                <w:highlight w:val="white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C9.4 Appliquer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les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règles de sécurité</w:t>
            </w:r>
            <w:r/>
          </w:p>
          <w:p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ind w:right="187"/>
              <w:jc w:val="both"/>
              <w:widowControl w:val="off"/>
              <w:rPr>
                <w:rFonts w:ascii="Arial" w:hAnsi="Arial" w:cs="Arial" w:eastAsia="Arial"/>
                <w:sz w:val="18"/>
                <w:szCs w:val="18"/>
                <w:lang w:bidi="fr-FR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Toutes les règles de sécurité des personnes et des biens sont appliquées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jc w:val="both"/>
              <w:rPr>
                <w:rStyle w:val="660"/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b/>
                <w:bCs/>
                <w:sz w:val="18"/>
                <w:szCs w:val="18"/>
              </w:rPr>
              <w:t xml:space="preserve">S2.2 - L’impact environnemental d’une activité</w:t>
            </w:r>
            <w:r/>
          </w:p>
          <w:p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b/>
                <w:bCs/>
                <w:sz w:val="18"/>
                <w:szCs w:val="18"/>
              </w:rPr>
              <w:t xml:space="preserve">S7.1 - Le processus qualité</w:t>
            </w:r>
            <w:r/>
          </w:p>
          <w:p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b/>
                <w:bCs/>
                <w:sz w:val="18"/>
                <w:szCs w:val="18"/>
              </w:rPr>
              <w:t xml:space="preserve">S7.2 - La gestion des déchets</w:t>
            </w:r>
            <w:r/>
          </w:p>
          <w:p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b/>
                <w:bCs/>
                <w:sz w:val="18"/>
                <w:szCs w:val="18"/>
              </w:rPr>
              <w:t xml:space="preserve">S7.3 - La santé et la sécurité au travai</w:t>
            </w:r>
            <w:r/>
          </w:p>
          <w:p>
            <w:pPr>
              <w:ind w:right="187"/>
              <w:jc w:val="both"/>
              <w:widowControl w:val="off"/>
              <w:rPr>
                <w:rFonts w:ascii="Arial" w:hAnsi="Arial" w:cs="Arial" w:eastAsia="Arial"/>
                <w:b/>
                <w:bCs/>
                <w:sz w:val="18"/>
                <w:szCs w:val="18"/>
                <w:lang w:bidi="fr-FR"/>
              </w:rPr>
            </w:pPr>
            <w:r>
              <w:rPr>
                <w:rFonts w:ascii="Arial" w:hAnsi="Arial" w:cs="Arial" w:eastAsia="Arial"/>
                <w:b/>
                <w:bCs/>
                <w:sz w:val="18"/>
                <w:szCs w:val="18"/>
                <w:lang w:bidi="fr-FR"/>
              </w:rPr>
            </w:r>
            <w:r/>
          </w:p>
        </w:tc>
      </w:tr>
    </w:tbl>
    <w:p>
      <w:pPr>
        <w:rPr>
          <w:rFonts w:ascii="Calibri" w:hAnsi="Calibri" w:cs="Calibri"/>
        </w:rPr>
      </w:pPr>
      <w:r>
        <w:rPr>
          <w:rFonts w:ascii="Calibri" w:hAnsi="Calibri" w:cs="Calibri"/>
        </w:rPr>
      </w:r>
      <w:r/>
    </w:p>
    <w:p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  <w:r/>
    </w:p>
    <w:tbl>
      <w:tblPr>
        <w:tblStyle w:val="655"/>
        <w:tblW w:w="10773" w:type="dxa"/>
        <w:tblInd w:w="15" w:type="dxa"/>
        <w:tblCellMar>
          <w:left w:w="108" w:type="dxa"/>
          <w:right w:w="108" w:type="dxa"/>
        </w:tblCellMar>
        <w:tblLook w:val="0000" w:firstRow="0" w:lastRow="0" w:firstColumn="0" w:lastColumn="0" w:noHBand="0" w:noVBand="0"/>
      </w:tblPr>
      <w:tblGrid>
        <w:gridCol w:w="10773"/>
      </w:tblGrid>
      <w:tr>
        <w:trPr>
          <w:trHeight w:val="305"/>
        </w:trPr>
        <w:tc>
          <w:tcPr>
            <w:shd w:val="clear" w:color="auto" w:fill="B7DDE8"/>
            <w:tcBorders>
              <w:left w:val="single" w:color="000001" w:sz="12" w:space="0"/>
              <w:top w:val="single" w:color="000001" w:sz="12" w:space="0"/>
              <w:right w:val="single" w:color="000001" w:sz="12" w:space="0"/>
              <w:bottom w:val="single" w:color="000001" w:sz="6" w:space="0"/>
            </w:tcBorders>
            <w:tcW w:w="10773" w:type="dxa"/>
            <w:vAlign w:val="center"/>
            <w:textDirection w:val="lrTb"/>
            <w:noWrap w:val="false"/>
          </w:tcPr>
          <w:p>
            <w:pPr>
              <w:jc w:val="center"/>
              <w:pageBreakBefore/>
              <w:rPr>
                <w:rFonts w:ascii="Calibri" w:hAnsi="Calibri" w:cs="Calibri" w:eastAsia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Prérequis des élèves</w:t>
            </w:r>
            <w:r/>
          </w:p>
        </w:tc>
      </w:tr>
      <w:tr>
        <w:trPr>
          <w:trHeight w:val="649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12" w:space="0"/>
            </w:tcBorders>
            <w:tcW w:w="1077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 xml:space="preserve">Avoir effectué et validé la séquence 1 en lien avec l’activité de modification</w:t>
            </w:r>
            <w:r/>
          </w:p>
          <w:p>
            <w:pPr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 xml:space="preserve">S4.3.1 – Les notions d’électricité (tension, intensité, puissance)</w:t>
            </w:r>
            <w:r/>
          </w:p>
          <w:p>
            <w:pPr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 xml:space="preserve">S4.4.1 - Les notions de mécanique des fluides (sur les réseaux sanitaires)</w:t>
            </w:r>
            <w:r/>
          </w:p>
          <w:p>
            <w:pPr>
              <w:jc w:val="center"/>
              <w:rPr>
                <w:rFonts w:ascii="Calibri" w:hAnsi="Calibri" w:cs="Calibri" w:eastAsia="Calibri"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Cs/>
                <w:color w:val="000000"/>
                <w:sz w:val="18"/>
                <w:szCs w:val="18"/>
              </w:rPr>
              <w:t xml:space="preserve">S4.4.2 - Les différents réseaux hydrauliques </w:t>
            </w:r>
            <w:r/>
          </w:p>
          <w:p>
            <w:pPr>
              <w:jc w:val="center"/>
              <w:rPr>
                <w:rFonts w:ascii="Calibri" w:hAnsi="Calibri" w:cs="Calibri" w:eastAsia="Calibri"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Cs/>
                <w:color w:val="000000"/>
                <w:sz w:val="18"/>
                <w:szCs w:val="18"/>
              </w:rPr>
              <w:t xml:space="preserve">S4.3.3 - Les protections électriques (des différents équipements de production d’eau chaudes sanitaires)</w:t>
            </w:r>
            <w:r/>
          </w:p>
          <w:p>
            <w:pPr>
              <w:jc w:val="center"/>
              <w:rPr>
                <w:rFonts w:ascii="Calibri" w:hAnsi="Calibri" w:cs="Calibri" w:eastAsia="Calibri"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Cs/>
                <w:color w:val="000000"/>
                <w:sz w:val="18"/>
                <w:szCs w:val="18"/>
              </w:rPr>
              <w:t xml:space="preserve">S4.4.4 - Les différents type de générateur de chaleur (Chauffe-eau électrique et ses équipements)</w:t>
            </w:r>
            <w:r/>
          </w:p>
          <w:p>
            <w:pPr>
              <w:jc w:val="center"/>
              <w:rPr>
                <w:rFonts w:ascii="Calibri" w:hAnsi="Calibri" w:cs="Calibri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 xml:space="preserve">S7.4 - Les habilitations et les certifications</w:t>
            </w: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 xml:space="preserve">(apprenant habilité B1v)</w:t>
            </w: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 </w:t>
            </w:r>
            <w:r/>
          </w:p>
        </w:tc>
      </w:tr>
    </w:tbl>
    <w:p>
      <w:pPr>
        <w:rPr>
          <w:rFonts w:ascii="Calibri" w:hAnsi="Calibri" w:cs="Calibri"/>
        </w:rPr>
      </w:pPr>
      <w:r>
        <w:rPr>
          <w:rFonts w:ascii="Calibri" w:hAnsi="Calibri" w:cs="Calibri"/>
        </w:rPr>
      </w:r>
      <w:r/>
    </w:p>
    <w:tbl>
      <w:tblPr>
        <w:tblStyle w:val="655"/>
        <w:tblW w:w="10773" w:type="dxa"/>
        <w:tblInd w:w="15" w:type="dxa"/>
        <w:tblCellMar>
          <w:left w:w="108" w:type="dxa"/>
          <w:right w:w="108" w:type="dxa"/>
        </w:tblCellMar>
        <w:tblLook w:val="0000" w:firstRow="0" w:lastRow="0" w:firstColumn="0" w:lastColumn="0" w:noHBand="0" w:noVBand="0"/>
      </w:tblPr>
      <w:tblGrid>
        <w:gridCol w:w="5103"/>
        <w:gridCol w:w="5670"/>
      </w:tblGrid>
      <w:tr>
        <w:trPr>
          <w:trHeight w:val="410"/>
        </w:trPr>
        <w:tc>
          <w:tcPr>
            <w:gridSpan w:val="2"/>
            <w:shd w:val="clear" w:color="auto" w:fill="B7DDE8"/>
            <w:tcBorders>
              <w:left w:val="single" w:color="000001" w:sz="12" w:space="0"/>
              <w:top w:val="single" w:color="000001" w:sz="12" w:space="0"/>
              <w:right w:val="single" w:color="000001" w:sz="12" w:space="0"/>
              <w:bottom w:val="single" w:color="000001" w:sz="6" w:space="0"/>
            </w:tcBorders>
            <w:tcW w:w="10772" w:type="dxa"/>
            <w:vAlign w:val="center"/>
            <w:textDirection w:val="lrTb"/>
            <w:noWrap w:val="false"/>
          </w:tcPr>
          <w:p>
            <w:pPr>
              <w:ind w:left="360"/>
              <w:jc w:val="center"/>
              <w:rPr>
                <w:rFonts w:ascii="Calibri" w:hAnsi="Calibri" w:cs="Calibri" w:eastAsia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Présentation du contexte professionnel</w:t>
            </w:r>
            <w:r/>
          </w:p>
        </w:tc>
      </w:tr>
      <w:tr>
        <w:trPr>
          <w:trHeight w:val="520"/>
        </w:trPr>
        <w:tc>
          <w:tcPr>
            <w:gridSpan w:val="2"/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10772" w:type="dxa"/>
            <w:vAlign w:val="center"/>
            <w:textDirection w:val="lrTb"/>
            <w:noWrap w:val="false"/>
          </w:tcPr>
          <w:p>
            <w:pPr>
              <w:pStyle w:val="575"/>
              <w:numPr>
                <w:ilvl w:val="0"/>
                <w:numId w:val="10"/>
              </w:numPr>
              <w:spacing w:after="40"/>
              <w:tabs>
                <w:tab w:val="left" w:pos="0" w:leader="none"/>
              </w:tabs>
              <w:rPr>
                <w:rFonts w:ascii="Calibri" w:hAnsi="Calibri" w:cs="Calibri" w:eastAsia="Calibri"/>
                <w:b w:val="false"/>
                <w:bCs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false"/>
                <w:bCs/>
                <w:iCs/>
                <w:color w:val="000000"/>
                <w:sz w:val="18"/>
                <w:szCs w:val="18"/>
              </w:rPr>
              <w:t xml:space="preserve">Réaliser les opérations de pré-mise en service pour assurer le séchage de la dalle. Puis assurer la mise en service du système sans la PAC</w:t>
            </w:r>
            <w:r/>
          </w:p>
        </w:tc>
      </w:tr>
      <w:tr>
        <w:trPr>
          <w:trHeight w:val="296"/>
        </w:trPr>
        <w:tc>
          <w:tcPr>
            <w:gridSpan w:val="2"/>
            <w:shd w:val="clear" w:color="auto" w:fill="B7DDE8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1077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Éléments à retenir</w:t>
            </w:r>
            <w:r/>
          </w:p>
        </w:tc>
      </w:tr>
      <w:tr>
        <w:trPr>
          <w:trHeight w:val="580"/>
        </w:trPr>
        <w:tc>
          <w:tcPr>
            <w:gridSpan w:val="2"/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10772" w:type="dxa"/>
            <w:textDirection w:val="lrTb"/>
            <w:noWrap w:val="false"/>
          </w:tcPr>
          <w:p>
            <w:pPr>
              <w:jc w:val="center"/>
              <w:spacing w:lineRule="auto" w:line="276"/>
              <w:widowControl w:val="off"/>
              <w:rPr>
                <w:rFonts w:ascii="Calibri" w:hAnsi="Calibri" w:cs="Calibri" w:eastAsia="Arial"/>
                <w:color w:val="000000"/>
                <w:sz w:val="18"/>
                <w:szCs w:val="16"/>
                <w:u w:val="single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6"/>
                <w:u w:val="single"/>
              </w:rPr>
              <w:t xml:space="preserve">A l’issue de la séquence, l’élève sera capable de :</w:t>
            </w:r>
            <w:r/>
          </w:p>
          <w:p>
            <w:pPr>
              <w:numPr>
                <w:ilvl w:val="0"/>
                <w:numId w:val="9"/>
              </w:numPr>
              <w:contextualSpacing w:val="true"/>
              <w:spacing w:lineRule="auto" w:line="276"/>
              <w:widowControl w:val="off"/>
              <w:rPr>
                <w:rFonts w:ascii="Calibri" w:hAnsi="Calibri" w:cs="Calibri" w:eastAsia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  <w:t xml:space="preserve">Identifier les différents points de mesures possibles sur une installation </w:t>
            </w:r>
            <w:r/>
          </w:p>
          <w:p>
            <w:pPr>
              <w:numPr>
                <w:ilvl w:val="0"/>
                <w:numId w:val="9"/>
              </w:numPr>
              <w:contextualSpacing w:val="true"/>
              <w:spacing w:lineRule="auto" w:line="276"/>
              <w:widowControl w:val="off"/>
              <w:rPr>
                <w:rFonts w:ascii="Calibri" w:hAnsi="Calibri" w:cs="Calibri" w:eastAsia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  <w:t xml:space="preserve">Identifier l’intérêt d’une PAC</w:t>
            </w:r>
            <w:r/>
          </w:p>
          <w:p>
            <w:pPr>
              <w:numPr>
                <w:ilvl w:val="0"/>
                <w:numId w:val="9"/>
              </w:numPr>
              <w:contextualSpacing w:val="true"/>
              <w:spacing w:lineRule="auto" w:line="276"/>
              <w:widowControl w:val="off"/>
              <w:rPr>
                <w:rFonts w:ascii="Calibri" w:hAnsi="Calibri" w:cs="Calibri" w:eastAsia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  <w:t xml:space="preserve">Réaliser la mise en chauffe d’une dalle plancher chauffant</w:t>
            </w:r>
            <w:r/>
          </w:p>
          <w:p>
            <w:pPr>
              <w:numPr>
                <w:ilvl w:val="0"/>
                <w:numId w:val="9"/>
              </w:numPr>
              <w:contextualSpacing w:val="true"/>
              <w:spacing w:lineRule="auto" w:line="276"/>
              <w:widowControl w:val="off"/>
              <w:rPr>
                <w:rFonts w:ascii="Calibri" w:hAnsi="Calibri" w:cs="Calibri" w:eastAsia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  <w:t xml:space="preserve">Identifier les grandeurs caractéristiques liés à la consommation (lien entre la puissance et l’énergie)</w:t>
            </w:r>
            <w:r/>
          </w:p>
          <w:p>
            <w:pPr>
              <w:numPr>
                <w:ilvl w:val="0"/>
                <w:numId w:val="9"/>
              </w:numPr>
              <w:contextualSpacing w:val="true"/>
              <w:spacing w:lineRule="auto" w:line="276"/>
              <w:widowControl w:val="off"/>
              <w:rPr>
                <w:rFonts w:ascii="Calibri" w:hAnsi="Calibri" w:cs="Calibri" w:eastAsia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  <w:t xml:space="preserve">Interpréter les mesures liées à son intervention </w:t>
            </w:r>
            <w:r/>
          </w:p>
          <w:p>
            <w:pPr>
              <w:numPr>
                <w:ilvl w:val="0"/>
                <w:numId w:val="9"/>
              </w:numPr>
              <w:contextualSpacing w:val="true"/>
              <w:spacing w:lineRule="auto" w:line="276"/>
              <w:widowControl w:val="off"/>
              <w:rPr>
                <w:rFonts w:ascii="Calibri" w:hAnsi="Calibri" w:cs="Calibri" w:eastAsia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  <w:t xml:space="preserve">Agir de manière éco-responsable</w:t>
            </w:r>
            <w:r/>
          </w:p>
          <w:p>
            <w:pPr>
              <w:numPr>
                <w:ilvl w:val="0"/>
                <w:numId w:val="9"/>
              </w:numPr>
              <w:contextualSpacing w:val="true"/>
              <w:spacing w:lineRule="auto" w:line="276"/>
              <w:widowControl w:val="off"/>
              <w:rPr>
                <w:rFonts w:ascii="Calibri" w:hAnsi="Calibri" w:cs="Calibri" w:eastAsia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  <w:t xml:space="preserve">Réaliser les opérations préalables à la mise en service et/ou l’arrêt de l’installation</w:t>
            </w:r>
            <w:r/>
          </w:p>
          <w:p>
            <w:pPr>
              <w:numPr>
                <w:ilvl w:val="0"/>
                <w:numId w:val="9"/>
              </w:numPr>
              <w:contextualSpacing w:val="true"/>
              <w:spacing w:lineRule="auto" w:line="276"/>
              <w:widowControl w:val="off"/>
              <w:rPr>
                <w:rFonts w:ascii="Calibri" w:hAnsi="Calibri" w:cs="Calibri" w:eastAsia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  <w:t xml:space="preserve">Réaliser la mise en service et/ou l’arrêt de l’installation</w:t>
            </w:r>
            <w:r/>
          </w:p>
          <w:p>
            <w:pPr>
              <w:numPr>
                <w:ilvl w:val="0"/>
                <w:numId w:val="9"/>
              </w:numPr>
              <w:contextualSpacing w:val="true"/>
              <w:spacing w:lineRule="auto" w:line="276"/>
              <w:widowControl w:val="off"/>
              <w:rPr>
                <w:rFonts w:ascii="Calibri" w:hAnsi="Calibri" w:cs="Calibri" w:eastAsia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  <w:t xml:space="preserve">Piloter l’installation avec un rendement énergétique global optimum dans le respect de l’environnement</w:t>
            </w:r>
            <w:r/>
          </w:p>
          <w:p>
            <w:pPr>
              <w:numPr>
                <w:ilvl w:val="0"/>
                <w:numId w:val="9"/>
              </w:numPr>
              <w:contextualSpacing w:val="true"/>
              <w:spacing w:lineRule="auto" w:line="276"/>
              <w:widowControl w:val="off"/>
              <w:rPr>
                <w:rFonts w:ascii="Calibri" w:hAnsi="Calibri" w:cs="Calibri" w:eastAsia="Arial"/>
                <w:color w:val="000000"/>
                <w:sz w:val="16"/>
                <w:szCs w:val="16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  <w:t xml:space="preserve">Réaliser des mesurages électriques</w:t>
            </w:r>
            <w:r/>
          </w:p>
        </w:tc>
      </w:tr>
      <w:tr>
        <w:trPr>
          <w:trHeight w:val="440"/>
        </w:trPr>
        <w:tc>
          <w:tcPr>
            <w:shd w:val="clear" w:color="auto" w:fill="B7DDE8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W w:w="51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Liens avec les autres disciplines</w:t>
            </w:r>
            <w:r/>
          </w:p>
        </w:tc>
        <w:tc>
          <w:tcPr>
            <w:shd w:val="clear" w:color="auto" w:fill="B7DDE8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56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Modalités d’évaluation</w:t>
            </w:r>
            <w:r/>
          </w:p>
        </w:tc>
      </w:tr>
      <w:tr>
        <w:trPr>
          <w:trHeight w:val="590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12" w:space="0"/>
            </w:tcBorders>
            <w:tcW w:w="51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Enseignement de physique-chimie, mathématique, français 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12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5669" w:type="dxa"/>
            <w:textDirection w:val="lrTb"/>
            <w:noWrap w:val="false"/>
          </w:tcPr>
          <w:p>
            <w:pPr>
              <w:jc w:val="both"/>
              <w:rPr>
                <w:rFonts w:ascii="Calibri" w:hAnsi="Calibri" w:cs="Calibri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</w:r>
            <w:r/>
          </w:p>
          <w:p>
            <w:pPr>
              <w:jc w:val="center"/>
              <w:rPr>
                <w:rFonts w:ascii="Calibri" w:hAnsi="Calibri" w:cs="Calibri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Évaluation formative</w:t>
            </w:r>
            <w:r/>
          </w:p>
        </w:tc>
      </w:tr>
    </w:tbl>
    <w:p>
      <w:pPr>
        <w:rPr>
          <w:rFonts w:ascii="Calibri" w:hAnsi="Calibri" w:cs="Calibri"/>
        </w:rPr>
      </w:pPr>
      <w:r>
        <w:rPr>
          <w:rFonts w:ascii="Calibri" w:hAnsi="Calibri" w:cs="Calibri"/>
        </w:rPr>
      </w:r>
      <w:r/>
    </w:p>
    <w:tbl>
      <w:tblPr>
        <w:tblStyle w:val="655"/>
        <w:tblW w:w="10773" w:type="dxa"/>
        <w:tblInd w:w="15" w:type="dxa"/>
        <w:tblCellMar>
          <w:left w:w="108" w:type="dxa"/>
          <w:right w:w="108" w:type="dxa"/>
        </w:tblCellMar>
        <w:tblLook w:val="0000" w:firstRow="0" w:lastRow="0" w:firstColumn="0" w:lastColumn="0" w:noHBand="0" w:noVBand="0"/>
      </w:tblPr>
      <w:tblGrid>
        <w:gridCol w:w="2409"/>
        <w:gridCol w:w="1701"/>
        <w:gridCol w:w="1702"/>
        <w:gridCol w:w="2125"/>
        <w:gridCol w:w="2836"/>
      </w:tblGrid>
      <w:tr>
        <w:trPr>
          <w:trHeight w:val="389"/>
        </w:trPr>
        <w:tc>
          <w:tcPr>
            <w:gridSpan w:val="5"/>
            <w:shd w:val="clear" w:color="auto" w:fill="B7DDE8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1077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Déroulement de la séquence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Questionnement pour mettre en réflexion les élèves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Démarche Pédagogique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Activités élèves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21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Ressources – Matériels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Conclusion - Bilan</w:t>
            </w:r>
            <w:r/>
          </w:p>
        </w:tc>
      </w:tr>
      <w:tr>
        <w:trPr>
          <w:trHeight w:val="1778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09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Pourquoi réaliser un séchage de dalle ?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701" w:type="dxa"/>
            <w:vAlign w:val="center"/>
            <w:textDirection w:val="lrTb"/>
            <w:noWrap w:val="false"/>
          </w:tcPr>
          <w:p>
            <w:pPr>
              <w:ind w:left="93"/>
              <w:rPr>
                <w:rFonts w:ascii="Calibri" w:hAnsi="Calibri" w:cs="Calibri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Investigation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702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Recherche</w:t>
            </w: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 des caractéristiques et de la réglementation en lien avec la chape liquide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2125" w:type="dxa"/>
            <w:vAlign w:val="center"/>
            <w:textDirection w:val="lrTb"/>
            <w:noWrap w:val="false"/>
          </w:tcPr>
          <w:p>
            <w:pPr>
              <w:ind w:left="13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Réglementation (DTU)</w:t>
            </w:r>
            <w:r/>
          </w:p>
          <w:p>
            <w:pPr>
              <w:ind w:left="13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Documentation technique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36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L’élève identifie les étapes du séchage de la dalle</w:t>
            </w:r>
            <w:r/>
          </w:p>
        </w:tc>
      </w:tr>
      <w:tr>
        <w:trPr>
          <w:trHeight w:val="1511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09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Comment réaliser le séchage de la dalle ?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701" w:type="dxa"/>
            <w:vAlign w:val="center"/>
            <w:textDirection w:val="lrTb"/>
            <w:noWrap w:val="false"/>
          </w:tcPr>
          <w:p>
            <w:pPr>
              <w:ind w:left="65"/>
              <w:rPr>
                <w:rFonts w:ascii="Calibri" w:hAnsi="Calibri" w:cs="Calibri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Investigation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702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Identifier et ordonner les valeurs à paramétrer de la régulation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2125" w:type="dxa"/>
            <w:vAlign w:val="center"/>
            <w:textDirection w:val="lrTb"/>
            <w:noWrap w:val="false"/>
          </w:tcPr>
          <w:p>
            <w:pPr>
              <w:rPr>
                <w:rFonts w:ascii="Calibri" w:hAnsi="Calibri" w:cs="Calibri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Documentation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s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 technique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s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constructeu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r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36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L’élève identifie les paramètres à modifier pour réaliser le séchage de la dalle</w:t>
            </w:r>
            <w:r/>
          </w:p>
        </w:tc>
      </w:tr>
      <w:tr>
        <w:trPr>
          <w:trHeight w:val="1511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09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Quel mode opératoire pour réaliser l’intervention de prémise en service en toute sécurité ?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701" w:type="dxa"/>
            <w:vAlign w:val="center"/>
            <w:textDirection w:val="lrTb"/>
            <w:noWrap w:val="false"/>
          </w:tcPr>
          <w:p>
            <w:pPr>
              <w:ind w:left="65"/>
              <w:rPr>
                <w:rFonts w:ascii="Calibri" w:hAnsi="Calibri" w:cs="Calibri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World Café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702" w:type="dxa"/>
            <w:vAlign w:val="center"/>
            <w:textDirection w:val="lrTb"/>
            <w:noWrap w:val="false"/>
          </w:tcPr>
          <w:p>
            <w:pPr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Proposer un mode opératoire opérationnel.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2125" w:type="dxa"/>
            <w:vAlign w:val="center"/>
            <w:textDirection w:val="lrTb"/>
            <w:noWrap w:val="false"/>
          </w:tcPr>
          <w:p>
            <w:pPr>
              <w:ind w:left="132"/>
              <w:rPr>
                <w:rFonts w:ascii="Calibri" w:hAnsi="Calibri" w:cs="Calibri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Documentation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s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 technique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s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 constructeu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r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36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L’élève identifie un mode opératoire permettant d’assurer le séchage de la dalle en toute sécurité.</w:t>
            </w:r>
            <w:r/>
          </w:p>
        </w:tc>
      </w:tr>
      <w:tr>
        <w:trPr>
          <w:trHeight w:val="1511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09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Quel mode opératoire pour réaliser la mise en service en toute sécurité ?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701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World Café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702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Proposer un mode opératoire opérationnel.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2125" w:type="dxa"/>
            <w:vAlign w:val="center"/>
            <w:textDirection w:val="lrTb"/>
            <w:noWrap w:val="false"/>
          </w:tcPr>
          <w:p>
            <w:pPr>
              <w:ind w:left="13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Documentation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s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 technique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s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 constructeu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r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36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L’élève identifie un mode opératoire permettant d’assurer le séchage de la dalle en toute sécurité.</w:t>
            </w:r>
            <w:r/>
          </w:p>
        </w:tc>
      </w:tr>
      <w:tr>
        <w:trPr>
          <w:trHeight w:val="1151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09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Comment </w:t>
            </w: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être certain que la mise en service soit terminée et permet le fonctionnement optimal de l’installation ?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701" w:type="dxa"/>
            <w:vAlign w:val="center"/>
            <w:textDirection w:val="lrTb"/>
            <w:noWrap w:val="false"/>
          </w:tcPr>
          <w:p>
            <w:pPr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Investigation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702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Identifier les valeurs à obtenir en fonction des températures extérieure simulées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2125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Documentation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s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 technique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s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 constructeu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r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36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L’élève identifie les </w:t>
            </w: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différentes </w:t>
            </w: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valeurs </w:t>
            </w: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en fonction des différentes températures extérieures en régime établi</w:t>
            </w:r>
            <w:r/>
          </w:p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L’élève paramètre la régulation pour détecter et identifier les dérives et signes d’anomalies </w:t>
            </w:r>
            <w:r/>
          </w:p>
        </w:tc>
      </w:tr>
      <w:tr>
        <w:trPr>
          <w:trHeight w:val="1151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09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Quels documents sont à compléter après l’intervention ?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701" w:type="dxa"/>
            <w:vAlign w:val="center"/>
            <w:textDirection w:val="lrTb"/>
            <w:noWrap w:val="false"/>
          </w:tcPr>
          <w:p>
            <w:pPr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Méthode active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702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Compléter la fiche d’intervention.</w:t>
            </w:r>
            <w:r/>
          </w:p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Compléter les documents numériques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2125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Fiche d’intervention</w:t>
            </w:r>
            <w:r/>
          </w:p>
          <w:p>
            <w:pPr>
              <w:ind w:left="48" w:right="72"/>
              <w:rPr>
                <w:rFonts w:ascii="Calibri" w:hAnsi="Calibri" w:cs="Calibri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Documents numériques proposées par l’enseignant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36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Identifier les démarches administratives après une intervention</w:t>
            </w:r>
            <w:r/>
          </w:p>
        </w:tc>
      </w:tr>
      <w:tr>
        <w:trPr>
          <w:trHeight w:val="1151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12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09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Comment et à qui transmettre les opérations réalisées lors de l’intervention ?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12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701" w:type="dxa"/>
            <w:vAlign w:val="center"/>
            <w:textDirection w:val="lrTb"/>
            <w:noWrap w:val="false"/>
          </w:tcPr>
          <w:p>
            <w:pPr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Méthode expérientielle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12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702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Rédiger un rapport d’intervention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Restituer et transmettre un rapport d’intervention</w:t>
            </w:r>
            <w:r/>
          </w:p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12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2125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Internet</w:t>
            </w:r>
            <w:r/>
          </w:p>
          <w:p>
            <w:pPr>
              <w:ind w:left="48" w:right="72"/>
              <w:rPr>
                <w:rFonts w:ascii="Calibri" w:hAnsi="Calibri" w:cs="Calibri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Suite bureautique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12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36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Identifier les faits.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Intégrer uniquement les éléments factuels dans le rapport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L’élève renforce l’analyse fonctionnelle et structurelle du système 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Les formules de civilités sont adaptées à la situation</w:t>
            </w:r>
            <w:r/>
          </w:p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La maîtrise de l’utilisation de l’outil de communication augmente</w:t>
            </w:r>
            <w:r/>
          </w:p>
        </w:tc>
      </w:tr>
    </w:tbl>
    <w:p>
      <w:pPr>
        <w:rPr>
          <w:rFonts w:ascii="Calibri" w:hAnsi="Calibri" w:cs="Calibri"/>
        </w:rPr>
      </w:pPr>
      <w:r>
        <w:rPr>
          <w:rFonts w:ascii="Calibri" w:hAnsi="Calibri" w:cs="Calibri"/>
        </w:rPr>
      </w:r>
      <w:r/>
    </w:p>
    <w:p>
      <w:pPr>
        <w:rPr>
          <w:rFonts w:ascii="Calibri" w:hAnsi="Calibri" w:cs="Calibri"/>
        </w:rPr>
      </w:pPr>
      <w:r>
        <w:rPr>
          <w:rFonts w:ascii="Calibri" w:hAnsi="Calibri" w:cs="Calibri"/>
        </w:rPr>
      </w:r>
      <w:r/>
    </w:p>
    <w:p>
      <w:pPr>
        <w:rPr>
          <w:rFonts w:ascii="Calibri" w:hAnsi="Calibri" w:cs="Calibri"/>
        </w:rPr>
      </w:pPr>
      <w:r>
        <w:rPr>
          <w:rFonts w:ascii="Calibri" w:hAnsi="Calibri" w:cs="Calibri"/>
        </w:rPr>
      </w:r>
      <w:r/>
    </w:p>
    <w:p>
      <w:pPr>
        <w:rPr>
          <w:rFonts w:ascii="Calibri" w:hAnsi="Calibri" w:cs="Calibri"/>
        </w:rPr>
      </w:pPr>
      <w:r>
        <w:rPr>
          <w:rFonts w:ascii="Calibri" w:hAnsi="Calibri" w:cs="Calibri"/>
        </w:rPr>
      </w:r>
      <w:r/>
    </w:p>
    <w:p>
      <w:pPr>
        <w:rPr>
          <w:rFonts w:ascii="Calibri" w:hAnsi="Calibri" w:cs="Calibri"/>
        </w:rPr>
      </w:pPr>
      <w:r>
        <w:rPr>
          <w:rFonts w:ascii="Calibri" w:hAnsi="Calibri" w:cs="Calibri"/>
        </w:rPr>
      </w:r>
      <w:r/>
    </w:p>
    <w:p>
      <w:pPr>
        <w:rPr>
          <w:rFonts w:ascii="Calibri" w:hAnsi="Calibri" w:cs="Calibri"/>
        </w:rPr>
      </w:pPr>
      <w:r>
        <w:rPr>
          <w:rFonts w:ascii="Calibri" w:hAnsi="Calibri" w:cs="Calibri"/>
        </w:rPr>
      </w:r>
      <w:r/>
    </w:p>
    <w:p>
      <w:pPr>
        <w:rPr>
          <w:rFonts w:ascii="Calibri" w:hAnsi="Calibri" w:cs="Calibri"/>
        </w:rPr>
      </w:pPr>
      <w:r>
        <w:rPr>
          <w:rFonts w:ascii="Calibri" w:hAnsi="Calibri" w:cs="Calibri"/>
        </w:rPr>
      </w:r>
      <w:r/>
    </w:p>
    <w:p>
      <w:pPr>
        <w:rPr>
          <w:rFonts w:ascii="Calibri" w:hAnsi="Calibri" w:cs="Calibri"/>
        </w:rPr>
      </w:pPr>
      <w:r>
        <w:rPr>
          <w:rFonts w:ascii="Calibri" w:hAnsi="Calibri" w:cs="Calibri"/>
        </w:rPr>
      </w:r>
      <w:r/>
    </w:p>
    <w:p>
      <w:pPr>
        <w:rPr>
          <w:rFonts w:ascii="Calibri" w:hAnsi="Calibri" w:cs="Calibri"/>
        </w:rPr>
      </w:pPr>
      <w:r>
        <w:rPr>
          <w:rFonts w:ascii="Calibri" w:hAnsi="Calibri" w:cs="Calibri"/>
        </w:rPr>
      </w:r>
      <w:r/>
    </w:p>
    <w:p>
      <w:pPr>
        <w:rPr>
          <w:rFonts w:ascii="Calibri" w:hAnsi="Calibri" w:cs="Calibri"/>
        </w:rPr>
      </w:pPr>
      <w:r>
        <w:rPr>
          <w:rFonts w:ascii="Calibri" w:hAnsi="Calibri" w:cs="Calibri"/>
        </w:rPr>
      </w:r>
      <w:r/>
    </w:p>
    <w:p>
      <w:pPr>
        <w:rPr>
          <w:rFonts w:ascii="Calibri" w:hAnsi="Calibri" w:cs="Calibri"/>
        </w:rPr>
      </w:pPr>
      <w:r>
        <w:rPr>
          <w:rFonts w:ascii="Calibri" w:hAnsi="Calibri" w:cs="Calibri"/>
        </w:rPr>
      </w:r>
      <w:r/>
    </w:p>
    <w:p>
      <w:pPr>
        <w:rPr>
          <w:rFonts w:ascii="Calibri" w:hAnsi="Calibri" w:cs="Calibri"/>
        </w:rPr>
      </w:pPr>
      <w:r>
        <w:rPr>
          <w:rFonts w:ascii="Calibri" w:hAnsi="Calibri" w:cs="Calibri"/>
        </w:rPr>
      </w:r>
      <w:r/>
    </w:p>
    <w:p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  <w:r/>
    </w:p>
    <w:tbl>
      <w:tblPr>
        <w:tblStyle w:val="658"/>
        <w:tblW w:w="10773" w:type="dxa"/>
        <w:tblInd w:w="57" w:type="dxa"/>
        <w:tblCellMar>
          <w:left w:w="57" w:type="dxa"/>
          <w:right w:w="108" w:type="dxa"/>
        </w:tblCellMar>
        <w:tblLook w:val="0000" w:firstRow="0" w:lastRow="0" w:firstColumn="0" w:lastColumn="0" w:noHBand="0" w:noVBand="0"/>
      </w:tblPr>
      <w:tblGrid>
        <w:gridCol w:w="4677"/>
        <w:gridCol w:w="6096"/>
      </w:tblGrid>
      <w:tr>
        <w:trPr>
          <w:trHeight w:val="397"/>
        </w:trPr>
        <w:tc>
          <w:tcPr>
            <w:gridSpan w:val="2"/>
            <w:shd w:val="clear" w:color="auto" w:fill="B7DDE8"/>
            <w:tcBorders>
              <w:left w:val="single" w:color="000001" w:sz="12" w:space="0"/>
              <w:top w:val="single" w:color="000001" w:sz="12" w:space="0"/>
              <w:right w:val="single" w:color="000001" w:sz="12" w:space="0"/>
              <w:bottom w:val="single" w:color="000001" w:sz="6" w:space="0"/>
            </w:tcBorders>
            <w:tcW w:w="10773" w:type="dxa"/>
            <w:vAlign w:val="center"/>
            <w:textDirection w:val="lrTb"/>
            <w:noWrap w:val="false"/>
          </w:tcPr>
          <w:p>
            <w:pPr>
              <w:jc w:val="center"/>
              <w:spacing w:before="120"/>
              <w:rPr>
                <w:rFonts w:ascii="Calibri" w:hAnsi="Calibri" w:cs="Calibri" w:eastAsia="Calibri"/>
                <w:b/>
                <w:color w:val="000000"/>
              </w:rPr>
            </w:pPr>
            <w:r/>
            <w:bookmarkStart w:id="3" w:name="_Hlk89023371"/>
            <w:r>
              <w:rPr>
                <w:rFonts w:ascii="Calibri" w:hAnsi="Calibri" w:cs="Calibri" w:eastAsia="Calibri"/>
                <w:b/>
                <w:color w:val="000000"/>
                <w:sz w:val="36"/>
                <w:szCs w:val="36"/>
              </w:rPr>
              <w:t xml:space="preserve">FICHE PÉDAGOGIQUE DE LA SÉQUENCE n°4</w:t>
            </w:r>
            <w:r/>
          </w:p>
        </w:tc>
      </w:tr>
      <w:tr>
        <w:trPr>
          <w:trHeight w:val="666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W w:w="4677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i/>
                <w:color w:val="000000"/>
                <w:sz w:val="8"/>
                <w:szCs w:val="8"/>
              </w:rPr>
            </w:pPr>
            <w:r>
              <w:rPr>
                <w:rFonts w:ascii="Calibri" w:hAnsi="Calibri" w:cs="Calibri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86050" cy="1704975"/>
                      <wp:effectExtent l="0" t="0" r="0" b="0"/>
                      <wp:docPr id="6" name="Image 6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Image 3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86050" cy="1704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mso-wrap-distance-left:0.0pt;mso-wrap-distance-top:0.0pt;mso-wrap-distance-right:0.0pt;mso-wrap-distance-bottom:0.0pt;width:211.5pt;height:134.2pt;" stroked="false">
                      <v:path textboxrect="0,0,0,0"/>
                      <v:imagedata r:id="rId9" o:title=""/>
                    </v:shape>
                  </w:pict>
                </mc:Fallback>
              </mc:AlternateContent>
            </w:r>
            <w:r/>
          </w:p>
          <w:p>
            <w:pPr>
              <w:ind w:left="-107" w:right="141"/>
              <w:jc w:val="center"/>
              <w:tabs>
                <w:tab w:val="left" w:pos="5115" w:leader="none"/>
              </w:tabs>
              <w:rPr>
                <w:rFonts w:ascii="Calibri" w:hAnsi="Calibri" w:cs="Calibri"/>
                <w:b/>
                <w:bCs/>
                <w:color w:val="F79646"/>
              </w:rPr>
            </w:pPr>
            <w:r>
              <w:rPr>
                <w:rFonts w:ascii="Calibri" w:hAnsi="Calibri" w:cs="Calibri"/>
                <w:b/>
                <w:bCs/>
                <w:color w:val="F79646"/>
              </w:rPr>
            </w:r>
            <w:r/>
          </w:p>
          <w:p>
            <w:pPr>
              <w:ind w:left="-107" w:right="141"/>
              <w:jc w:val="center"/>
              <w:tabs>
                <w:tab w:val="left" w:pos="5115" w:leader="none"/>
              </w:tabs>
              <w:rPr>
                <w:rFonts w:ascii="Calibri" w:hAnsi="Calibri" w:cs="Calibri" w:eastAsia="Calibri"/>
                <w:b/>
                <w:i/>
                <w:color w:val="000000"/>
                <w:sz w:val="8"/>
                <w:szCs w:val="8"/>
              </w:rPr>
            </w:pPr>
            <w:r>
              <w:rPr>
                <w:rFonts w:ascii="Calibri" w:hAnsi="Calibri" w:cs="Calibri"/>
                <w:b/>
                <w:bCs/>
                <w:color w:val="F79646" w:themeColor="accent6"/>
                <w:sz w:val="22"/>
              </w:rPr>
              <w:t xml:space="preserve">Le plancher chauffant ne semble plus fonctionner correctement.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609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14"/>
              </w:numPr>
              <w:jc w:val="center"/>
              <w:keepNext/>
              <w:spacing w:after="40"/>
              <w:tabs>
                <w:tab w:val="left" w:pos="0" w:leader="none"/>
              </w:tabs>
              <w:rPr>
                <w:rFonts w:ascii="Calibri" w:hAnsi="Calibri" w:cs="Calibri" w:eastAsia="Calibri"/>
                <w:b/>
                <w:i/>
                <w:color w:val="000000"/>
                <w:sz w:val="18"/>
                <w:szCs w:val="18"/>
              </w:rPr>
              <w:outlineLvl w:val="0"/>
            </w:pPr>
            <w:r>
              <w:rPr>
                <w:rFonts w:ascii="Calibri" w:hAnsi="Calibri" w:cs="Calibri" w:eastAsia="Calibri"/>
                <w:b/>
                <w:i/>
                <w:color w:val="000000"/>
                <w:sz w:val="18"/>
                <w:szCs w:val="18"/>
              </w:rPr>
              <w:t xml:space="preserve">Problématique</w:t>
            </w:r>
            <w:r/>
          </w:p>
          <w:p>
            <w:pPr>
              <w:ind w:left="-107" w:right="141"/>
              <w:jc w:val="center"/>
              <w:tabs>
                <w:tab w:val="left" w:pos="5115" w:leader="none"/>
              </w:tabs>
              <w:rPr>
                <w:rFonts w:ascii="Calibri" w:hAnsi="Calibri" w:cs="Calibri"/>
                <w:color w:val="auto"/>
              </w:rPr>
            </w:pPr>
            <w:r>
              <w:rPr>
                <w:b/>
                <w:bCs/>
                <w:color w:val="F79646" w:themeColor="accent6"/>
              </w:rPr>
              <w:t xml:space="preserve">Comment assurer la réussite d’une intervention de maintenance corrective ?</w:t>
            </w:r>
            <w:r/>
          </w:p>
        </w:tc>
      </w:tr>
      <w:tr>
        <w:trPr>
          <w:trHeight w:val="1383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12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4677" w:type="dxa"/>
            <w:vMerge w:val="continue"/>
            <w:textDirection w:val="lrTb"/>
            <w:noWrap w:val="false"/>
          </w:tcPr>
          <w:p>
            <w:pPr>
              <w:spacing w:lineRule="auto" w:line="276"/>
              <w:widowControl w:val="off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12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609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14"/>
              </w:numPr>
              <w:jc w:val="center"/>
              <w:keepNext/>
              <w:spacing w:after="40" w:before="40"/>
              <w:tabs>
                <w:tab w:val="left" w:pos="0" w:leader="none"/>
              </w:tabs>
              <w:rPr>
                <w:rFonts w:ascii="Calibri" w:hAnsi="Calibri" w:cs="Calibri" w:eastAsia="Calibri"/>
                <w:b/>
                <w:i/>
                <w:color w:val="000000"/>
                <w:sz w:val="18"/>
                <w:szCs w:val="18"/>
              </w:rPr>
              <w:outlineLvl w:val="0"/>
            </w:pPr>
            <w:r>
              <w:rPr>
                <w:rFonts w:ascii="Calibri" w:hAnsi="Calibri" w:cs="Calibri" w:eastAsia="Calibri"/>
                <w:b/>
                <w:i/>
                <w:color w:val="000000"/>
                <w:sz w:val="18"/>
                <w:szCs w:val="18"/>
              </w:rPr>
              <w:t xml:space="preserve">Positionnement sur la classe de seconde</w:t>
            </w:r>
            <w:r/>
          </w:p>
          <w:p>
            <w:pPr>
              <w:numPr>
                <w:ilvl w:val="0"/>
                <w:numId w:val="14"/>
              </w:numPr>
              <w:ind w:left="387"/>
              <w:jc w:val="center"/>
              <w:keepNext/>
              <w:spacing w:after="40" w:before="40"/>
              <w:tabs>
                <w:tab w:val="left" w:pos="387" w:leader="none"/>
              </w:tabs>
              <w:rPr>
                <w:rFonts w:ascii="Calibri" w:hAnsi="Calibri" w:cs="Calibri" w:eastAsia="Calibri"/>
                <w:b/>
                <w:i/>
                <w:color w:val="000000"/>
                <w:sz w:val="18"/>
                <w:szCs w:val="18"/>
              </w:rPr>
              <w:outlineLvl w:val="0"/>
            </w:pPr>
            <w:r>
              <w:rPr>
                <w:rFonts w:ascii="Calibri" w:hAnsi="Calibri" w:cs="Calibri" w:eastAsia="Calibri"/>
                <w:b/>
                <w:i/>
                <w:color w:val="000000"/>
                <w:sz w:val="18"/>
                <w:szCs w:val="18"/>
              </w:rPr>
              <w:t xml:space="preserve">Début d’année                                                                               Fin d’année</w:t>
            </w:r>
            <w:r/>
          </w:p>
          <w:tbl>
            <w:tblPr>
              <w:tblStyle w:val="659"/>
              <w:tblW w:w="5295" w:type="dxa"/>
              <w:tblInd w:w="548" w:type="dxa"/>
              <w:tblCellMar>
                <w:right w:w="0" w:type="dxa"/>
              </w:tblCellMar>
              <w:tblLook w:val="0400" w:firstRow="0" w:lastRow="0" w:firstColumn="0" w:lastColumn="0" w:noHBand="0" w:noVBand="1"/>
            </w:tblPr>
            <w:tblGrid>
              <w:gridCol w:w="435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</w:tblGrid>
            <w:tr>
              <w:trPr/>
              <w:tc>
                <w:tcPr>
                  <w:shd w:val="clear" w:color="auto" w:fill="auto"/>
                  <w:tcBorders>
                    <w:left w:val="single" w:color="000000" w:sz="8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434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rFonts w:ascii="Calibri" w:hAnsi="Calibri" w:cs="Calibri"/>
                      <w:color w:val="000000"/>
                      <w:highlight w:val="darkBlue"/>
                    </w:rPr>
                  </w:pPr>
                  <w:r>
                    <w:rPr>
                      <w:rFonts w:ascii="Calibri" w:hAnsi="Calibri" w:cs="Calibri"/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rFonts w:ascii="Calibri" w:hAnsi="Calibri" w:cs="Calibri"/>
                      <w:color w:val="000000"/>
                      <w:highlight w:val="darkBlue"/>
                    </w:rPr>
                  </w:pPr>
                  <w:r>
                    <w:rPr>
                      <w:rFonts w:ascii="Calibri" w:hAnsi="Calibri" w:cs="Calibri"/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rFonts w:ascii="Calibri" w:hAnsi="Calibri" w:cs="Calibri"/>
                      <w:color w:val="000000"/>
                      <w:highlight w:val="darkBlue"/>
                    </w:rPr>
                  </w:pPr>
                  <w:r>
                    <w:rPr>
                      <w:rFonts w:ascii="Calibri" w:hAnsi="Calibri" w:cs="Calibri"/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rFonts w:ascii="Calibri" w:hAnsi="Calibri" w:cs="Calibri"/>
                      <w:color w:val="000000"/>
                      <w:highlight w:val="darkBlue"/>
                    </w:rPr>
                  </w:pPr>
                  <w:r>
                    <w:rPr>
                      <w:rFonts w:ascii="Calibri" w:hAnsi="Calibri" w:cs="Calibri"/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rFonts w:ascii="Calibri" w:hAnsi="Calibri" w:cs="Calibri"/>
                      <w:color w:val="000000"/>
                      <w:highlight w:val="darkBlue"/>
                    </w:rPr>
                  </w:pPr>
                  <w:r>
                    <w:rPr>
                      <w:rFonts w:ascii="Calibri" w:hAnsi="Calibri" w:cs="Calibri"/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rFonts w:ascii="Calibri" w:hAnsi="Calibri" w:cs="Calibri"/>
                      <w:color w:val="000000"/>
                      <w:highlight w:val="darkBlue"/>
                    </w:rPr>
                  </w:pPr>
                  <w:r>
                    <w:rPr>
                      <w:rFonts w:ascii="Calibri" w:hAnsi="Calibri" w:cs="Calibri"/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00B050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rFonts w:ascii="Calibri" w:hAnsi="Calibri" w:cs="Calibri"/>
                      <w:color w:val="000000"/>
                      <w:highlight w:val="darkBlue"/>
                    </w:rPr>
                  </w:pPr>
                  <w:r>
                    <w:rPr>
                      <w:rFonts w:ascii="Calibri" w:hAnsi="Calibri" w:cs="Calibri"/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00B050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rFonts w:ascii="Calibri" w:hAnsi="Calibri" w:cs="Calibri"/>
                      <w:color w:val="000000"/>
                      <w:highlight w:val="darkBlue"/>
                    </w:rPr>
                  </w:pPr>
                  <w:r>
                    <w:rPr>
                      <w:rFonts w:ascii="Calibri" w:hAnsi="Calibri" w:cs="Calibri"/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FFFFFF" w:themeFill="background1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rFonts w:ascii="Calibri" w:hAnsi="Calibri" w:cs="Calibri"/>
                      <w:color w:val="000000"/>
                      <w:highlight w:val="darkBlue"/>
                    </w:rPr>
                  </w:pPr>
                  <w:r>
                    <w:rPr>
                      <w:rFonts w:ascii="Calibri" w:hAnsi="Calibri" w:cs="Calibri"/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FFFFFF" w:themeFill="background1"/>
                  <w:tcBorders>
                    <w:left w:val="single" w:color="000000" w:sz="4" w:space="0"/>
                    <w:top w:val="single" w:color="000000" w:sz="8" w:space="0"/>
                    <w:right w:val="single" w:color="000000" w:sz="8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rFonts w:ascii="Calibri" w:hAnsi="Calibri" w:cs="Calibri"/>
                      <w:color w:val="000000"/>
                      <w:highlight w:val="darkBlue"/>
                    </w:rPr>
                  </w:pPr>
                  <w:r>
                    <w:rPr>
                      <w:rFonts w:ascii="Calibri" w:hAnsi="Calibri" w:cs="Calibri"/>
                      <w:color w:val="000000"/>
                      <w:highlight w:val="darkBlue"/>
                    </w:rPr>
                  </w:r>
                  <w:r/>
                </w:p>
              </w:tc>
            </w:tr>
          </w:tbl>
          <w:p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</w:r>
            <w:r/>
          </w:p>
        </w:tc>
      </w:tr>
    </w:tbl>
    <w:p>
      <w:pPr>
        <w:rPr>
          <w:rFonts w:ascii="Calibri" w:hAnsi="Calibri" w:cs="Calibri"/>
        </w:rPr>
        <w:pBdr>
          <w:left w:val="none" w:sz="0" w:space="0" w:color="auto"/>
          <w:top w:val="none" w:sz="0" w:space="0" w:color="auto"/>
          <w:right w:val="none" w:sz="0" w:space="0" w:color="auto"/>
          <w:bottom w:val="none" w:sz="0" w:space="0" w:color="auto"/>
          <w:between w:val="none" w:sz="0" w:space="0" w:color="auto"/>
        </w:pBdr>
      </w:pPr>
      <w:r>
        <w:rPr>
          <w:rFonts w:ascii="Calibri" w:hAnsi="Calibri" w:cs="Calibri"/>
        </w:rPr>
      </w:r>
      <w:r/>
    </w:p>
    <w:tbl>
      <w:tblPr>
        <w:tblStyle w:val="658"/>
        <w:tblW w:w="10815" w:type="dxa"/>
        <w:tblInd w:w="15" w:type="dxa"/>
        <w:tblCellMar>
          <w:left w:w="57" w:type="dxa"/>
          <w:right w:w="108" w:type="dxa"/>
        </w:tblCellMar>
        <w:tblLook w:val="0000" w:firstRow="0" w:lastRow="0" w:firstColumn="0" w:lastColumn="0" w:noHBand="0" w:noVBand="0"/>
      </w:tblPr>
      <w:tblGrid>
        <w:gridCol w:w="42"/>
        <w:gridCol w:w="2267"/>
        <w:gridCol w:w="3402"/>
        <w:gridCol w:w="5062"/>
        <w:gridCol w:w="42"/>
      </w:tblGrid>
      <w:tr>
        <w:trPr>
          <w:gridBefore w:val="1"/>
          <w:trHeight w:val="320"/>
        </w:trPr>
        <w:tc>
          <w:tcPr>
            <w:shd w:val="clear" w:color="auto" w:fill="B7DDE8"/>
            <w:tcBorders>
              <w:left w:val="single" w:color="000001" w:sz="12" w:space="0"/>
              <w:top w:val="single" w:color="000001" w:sz="12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Compétences visées</w:t>
            </w:r>
            <w:r/>
          </w:p>
        </w:tc>
        <w:tc>
          <w:tcPr>
            <w:shd w:val="clear" w:color="auto" w:fill="B7DDE8"/>
            <w:tcBorders>
              <w:left w:val="single" w:color="000001" w:sz="6" w:space="0"/>
              <w:top w:val="single" w:color="000001" w:sz="12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color w:val="000000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Critères d’évaluation</w:t>
            </w:r>
            <w:r/>
          </w:p>
        </w:tc>
        <w:tc>
          <w:tcPr>
            <w:gridSpan w:val="2"/>
            <w:shd w:val="clear" w:color="auto" w:fill="B7DDE8"/>
            <w:tcBorders>
              <w:left w:val="single" w:color="000001" w:sz="6" w:space="0"/>
              <w:top w:val="single" w:color="000001" w:sz="12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Savoirs associés</w:t>
            </w:r>
            <w:r/>
          </w:p>
        </w:tc>
      </w:tr>
      <w:tr>
        <w:trPr>
          <w:gridBefore w:val="1"/>
          <w:trHeight w:val="933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C11.2 Constater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la défaillance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L’analyse* des données technique de l’installation est effectuée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Le dysfonctionnement est identifié</w:t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r>
              <w:rPr>
                <w:rStyle w:val="660"/>
              </w:rPr>
              <w:t xml:space="preserve">S1.3 : les étapes d’une intervention</w:t>
            </w:r>
            <w:r/>
          </w:p>
          <w:p>
            <w:r>
              <w:rPr>
                <w:rStyle w:val="660"/>
              </w:rPr>
              <w:t xml:space="preserve">S2.5 : le fonctionnement thermique du bâti</w:t>
            </w:r>
            <w:r/>
          </w:p>
          <w:p>
            <w:r>
              <w:rPr>
                <w:rStyle w:val="660"/>
              </w:rPr>
              <w:t xml:space="preserve">S3.1 : l’analyse fonctionnelle et structurelle</w:t>
            </w:r>
            <w:r/>
          </w:p>
        </w:tc>
      </w:tr>
      <w:tr>
        <w:trPr>
          <w:gridBefore w:val="1"/>
          <w:trHeight w:val="1070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C11.3 Lister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des hypothèses de panne et/ou de dysfonctionnement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Toutes les hypothèses émises sont pertinentes</w:t>
            </w:r>
            <w:r/>
          </w:p>
          <w:p>
            <w:pPr>
              <w:ind w:left="-19" w:right="109"/>
              <w:rPr>
                <w:rFonts w:ascii="Arial" w:hAnsi="Arial" w:cs="Arial" w:eastAsia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Calibri"/>
                <w:color w:val="000000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rPr>
                <w:rStyle w:val="660"/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Style w:val="660"/>
              </w:rPr>
              <w:t xml:space="preserve">S4.3 : les installations et équipements électriques</w:t>
            </w:r>
            <w:r/>
          </w:p>
          <w:p>
            <w:pPr>
              <w:rPr>
                <w:rStyle w:val="660"/>
              </w:rPr>
            </w:pPr>
            <w:r>
              <w:rPr>
                <w:rStyle w:val="660"/>
              </w:rPr>
              <w:t xml:space="preserve">S4.4 : les réseaux hydrauliques</w:t>
            </w:r>
            <w:r/>
          </w:p>
          <w:p>
            <w:r>
              <w:rPr>
                <w:rStyle w:val="660"/>
              </w:rPr>
              <w:t xml:space="preserve">S5.1 : les raccordements fluidiques</w:t>
            </w:r>
            <w:r/>
          </w:p>
          <w:p>
            <w:r>
              <w:rPr>
                <w:rStyle w:val="660"/>
              </w:rPr>
              <w:t xml:space="preserve">S5.3 : les raccordements électriques</w:t>
            </w:r>
            <w:r/>
          </w:p>
          <w:p>
            <w:r/>
            <w:r/>
          </w:p>
        </w:tc>
      </w:tr>
      <w:tr>
        <w:trPr>
          <w:gridBefore w:val="1"/>
          <w:trHeight w:val="1911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C11.4 Vérifier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les hypothèses en effectuant des mesures, des contrôles, des tests permettant en respectant les règles de sécurité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Les résultats des tests, des contrôles et/ou des mesures permettent de valider les hypothèses</w:t>
            </w:r>
            <w:r/>
          </w:p>
          <w:p>
            <w:pPr>
              <w:ind w:left="-19" w:right="109"/>
              <w:rPr>
                <w:rFonts w:ascii="Arial" w:hAnsi="Arial" w:cs="Arial"/>
                <w:sz w:val="18"/>
                <w:szCs w:val="18"/>
                <w:lang w:bidi="fr-FR"/>
              </w:rPr>
            </w:pPr>
            <w:r>
              <w:rPr>
                <w:rFonts w:ascii="Arial" w:hAnsi="Arial" w:cs="Arial"/>
                <w:sz w:val="18"/>
                <w:szCs w:val="18"/>
                <w:lang w:bidi="fr-FR"/>
              </w:rPr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rPr>
                <w:rStyle w:val="660"/>
              </w:rPr>
            </w:pPr>
            <w:r>
              <w:rPr>
                <w:rStyle w:val="660"/>
              </w:rPr>
              <w:t xml:space="preserve">S4.4 : les réseaux hydrauliques</w:t>
            </w:r>
            <w:r/>
          </w:p>
          <w:p>
            <w:r>
              <w:rPr>
                <w:rStyle w:val="660"/>
              </w:rPr>
              <w:t xml:space="preserve">S5.1 : les raccordements fluidiques</w:t>
            </w:r>
            <w:r/>
          </w:p>
          <w:p>
            <w:r>
              <w:rPr>
                <w:rStyle w:val="660"/>
              </w:rPr>
              <w:t xml:space="preserve">S5.3 : les raccordements électriques</w:t>
            </w:r>
            <w:r/>
          </w:p>
        </w:tc>
      </w:tr>
      <w:tr>
        <w:trPr>
          <w:gridBefore w:val="1"/>
          <w:trHeight w:val="1074"/>
        </w:trPr>
        <w:tc>
          <w:tcPr>
            <w:shd w:val="clear" w:color="auto" w:fill="FFFFFF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C11.5 Identifier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le composant défectueux et/ou la cause de la défaillance</w:t>
            </w:r>
            <w:r/>
          </w:p>
        </w:tc>
        <w:tc>
          <w:tcPr>
            <w:shd w:val="clear" w:color="auto" w:fill="FFFFFF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La cause de la défaillance est identifiée</w:t>
            </w:r>
            <w:r/>
          </w:p>
          <w:p>
            <w:pPr>
              <w:ind w:right="91"/>
              <w:spacing w:lineRule="auto" w:line="288"/>
              <w:rPr>
                <w:rFonts w:ascii="Arial" w:hAnsi="Arial" w:cs="Arial" w:eastAsia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Calibri"/>
                <w:color w:val="000000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FFFFFF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vMerge w:val="restart"/>
            <w:textDirection w:val="lrTb"/>
            <w:noWrap w:val="false"/>
          </w:tcPr>
          <w:p>
            <w:pPr>
              <w:rPr>
                <w:rStyle w:val="660"/>
              </w:rPr>
            </w:pPr>
            <w:r>
              <w:rPr>
                <w:rStyle w:val="660"/>
              </w:rPr>
              <w:t xml:space="preserve">S4.4 : les réseaux hydrauliques</w:t>
            </w:r>
            <w:r/>
          </w:p>
          <w:p>
            <w:r>
              <w:rPr>
                <w:rStyle w:val="660"/>
              </w:rPr>
              <w:t xml:space="preserve">S5.1 : les raccordements fluidiques</w:t>
            </w:r>
            <w:r/>
          </w:p>
          <w:p>
            <w:r>
              <w:rPr>
                <w:rStyle w:val="660"/>
              </w:rPr>
              <w:t xml:space="preserve">S5.3 : les raccordements électriques</w:t>
            </w:r>
            <w:r/>
          </w:p>
        </w:tc>
      </w:tr>
      <w:tr>
        <w:trPr>
          <w:gridBefore w:val="1"/>
          <w:trHeight w:val="780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C11.8 Consigner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(déconsigner) le système (électrique, fluidique : gaz, caloporteurs…)</w:t>
            </w:r>
            <w:r/>
          </w:p>
          <w:p>
            <w:pPr>
              <w:rPr>
                <w:rFonts w:ascii="Calibri" w:hAnsi="Calibri" w:cs="Calibri"/>
                <w:sz w:val="18"/>
                <w:szCs w:val="20"/>
              </w:rPr>
            </w:pPr>
            <w:r>
              <w:rPr>
                <w:rFonts w:ascii="Calibri" w:hAnsi="Calibri" w:cs="Calibri"/>
                <w:sz w:val="18"/>
                <w:szCs w:val="20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ind w:left="-19" w:right="109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Les matériels, les équipements et les outillages nécessaires à la consignation sont identifiés</w:t>
            </w:r>
            <w:r/>
          </w:p>
          <w:p>
            <w:pPr>
              <w:ind w:left="-19" w:right="109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Les étapes de consignation (déconsignation) sont réalisées en respectant les normes en vigueur</w:t>
            </w:r>
            <w:r/>
          </w:p>
          <w:p>
            <w:pPr>
              <w:ind w:left="-19" w:right="109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Les protocoles de mise en service et/ou d’arrêt sont respectés</w:t>
            </w:r>
            <w:r/>
          </w:p>
          <w:p>
            <w:pPr>
              <w:ind w:left="-19" w:right="109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La sécurité des usagers, et de l’installation est assurée tout au long de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l’opération</w:t>
            </w:r>
            <w:r/>
          </w:p>
          <w:p>
            <w:pPr>
              <w:ind w:left="-19" w:right="109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Les informations sont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transmises à la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hiérarchie et aux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usagers</w:t>
            </w:r>
            <w:r/>
          </w:p>
          <w:p>
            <w:pPr>
              <w:ind w:left="-19" w:right="109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Les documents sont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complétés</w:t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r>
              <w:rPr>
                <w:rStyle w:val="660"/>
              </w:rPr>
              <w:t xml:space="preserve">S6.1 : la stratégie, l’organisation et les méthodes de maintenance</w:t>
            </w:r>
            <w:r/>
          </w:p>
          <w:p>
            <w:r>
              <w:rPr>
                <w:rStyle w:val="660"/>
              </w:rPr>
              <w:t xml:space="preserve">S7.1 : le processus qualité</w:t>
            </w:r>
            <w:r/>
          </w:p>
          <w:p>
            <w:r>
              <w:rPr>
                <w:rStyle w:val="660"/>
              </w:rPr>
              <w:t xml:space="preserve">S8.2 : les outils de la communication écrite et numérique</w:t>
            </w:r>
            <w:r/>
          </w:p>
        </w:tc>
      </w:tr>
      <w:tr>
        <w:trPr>
          <w:gridBefore w:val="1"/>
          <w:trHeight w:val="780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C11.11 Remettre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en service l’installation </w:t>
            </w:r>
            <w:r/>
          </w:p>
          <w:p>
            <w:pPr>
              <w:rPr>
                <w:rFonts w:ascii="Calibri" w:hAnsi="Calibri" w:cs="Calibri"/>
                <w:b/>
                <w:sz w:val="18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Les informations sont transmises à la hiérarchie et à l’exploitant ou l’usager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Les documents techniques et administratifs sont complétés</w:t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r>
              <w:rPr>
                <w:rStyle w:val="660"/>
              </w:rPr>
              <w:t xml:space="preserve">S8.2 : les outils de la communication écrite et numérique</w:t>
            </w:r>
            <w:r/>
          </w:p>
        </w:tc>
      </w:tr>
      <w:tr>
        <w:trPr>
          <w:gridBefore w:val="1"/>
          <w:trHeight w:val="780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C11.12 Opérer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le traitement des déchets</w:t>
            </w:r>
            <w:r/>
          </w:p>
          <w:p>
            <w:pPr>
              <w:rPr>
                <w:rFonts w:ascii="Calibri" w:hAnsi="Calibri" w:cs="Calibri"/>
                <w:b/>
                <w:sz w:val="18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ind w:left="-19" w:right="109"/>
              <w:rPr>
                <w:rFonts w:ascii="Arial" w:hAnsi="Arial" w:cs="Arial"/>
                <w:sz w:val="18"/>
                <w:szCs w:val="18"/>
                <w:lang w:bidi="fr-FR"/>
              </w:rPr>
            </w:pP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La zone d’intervention est remise en état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Les déchets sont évacués de façon éco responsable et conformément aux règles en vigueur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La sécurité des personnes et des biens est assurée</w:t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rPr>
                <w:rFonts w:ascii="ArialMT" w:hAnsi="ArialMT"/>
                <w:color w:val="000000"/>
                <w:sz w:val="20"/>
                <w:szCs w:val="20"/>
              </w:rPr>
            </w:pPr>
            <w:r>
              <w:rPr>
                <w:rStyle w:val="660"/>
              </w:rPr>
              <w:t xml:space="preserve">S7.2 : la gestion des déchets</w:t>
            </w:r>
            <w:r/>
          </w:p>
        </w:tc>
      </w:tr>
      <w:tr>
        <w:trPr>
          <w:gridBefore w:val="1"/>
          <w:trHeight w:val="780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C12.2 Expliquer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l’état d’avancement des opérations, leurs contraintes et leurs difficultés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Les contraintes et les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difficultés sont identifiées</w:t>
            </w:r>
            <w:r/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Les informations sont transmises à la hiérarchie</w:t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r>
              <w:rPr>
                <w:rStyle w:val="660"/>
              </w:rPr>
              <w:t xml:space="preserve">S8.1 : la communication orale</w:t>
            </w:r>
            <w:r/>
          </w:p>
        </w:tc>
      </w:tr>
      <w:tr>
        <w:trPr>
          <w:gridBefore w:val="1"/>
          <w:trHeight w:val="780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C12.3 Compléter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les documents techniques et administratifs </w:t>
            </w:r>
            <w:r/>
          </w:p>
          <w:p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La fiche d’intervention est complétée sans erreurs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Le bordereau de suivi de déchet dangereux est complété sans erreurs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Le dossier technique est mis à jour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Les informations du système sont consignées sur le support prévu à cet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effet</w:t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r>
              <w:rPr>
                <w:rStyle w:val="660"/>
              </w:rPr>
              <w:t xml:space="preserve">S7.1 : le processus qualité</w:t>
            </w:r>
            <w:r/>
          </w:p>
          <w:p>
            <w:pPr>
              <w:rPr>
                <w:rStyle w:val="660"/>
              </w:rPr>
            </w:pPr>
            <w:r>
              <w:rPr>
                <w:rStyle w:val="660"/>
              </w:rPr>
              <w:t xml:space="preserve">S7.2 : la gestion des déchets</w:t>
            </w:r>
            <w:r/>
          </w:p>
          <w:p>
            <w:r>
              <w:rPr>
                <w:rStyle w:val="660"/>
              </w:rPr>
              <w:t xml:space="preserve">S8.2 : les outils de la communication écrite et numérique</w:t>
            </w:r>
            <w:r/>
          </w:p>
          <w:p>
            <w:r/>
            <w:r/>
          </w:p>
          <w:p>
            <w:pPr>
              <w:ind w:right="91"/>
              <w:spacing w:lineRule="auto" w:line="288" w:after="120" w:before="120"/>
              <w:rPr>
                <w:rFonts w:ascii="Calibri" w:hAnsi="Calibri" w:cs="Calibri"/>
                <w:sz w:val="18"/>
                <w:szCs w:val="18"/>
                <w:lang w:bidi="fr-FR"/>
              </w:rPr>
            </w:pPr>
            <w:r>
              <w:rPr>
                <w:rFonts w:ascii="Calibri" w:hAnsi="Calibri" w:cs="Calibri"/>
                <w:sz w:val="18"/>
                <w:szCs w:val="18"/>
                <w:lang w:bidi="fr-FR"/>
              </w:rPr>
            </w:r>
            <w:r/>
          </w:p>
        </w:tc>
      </w:tr>
      <w:tr>
        <w:trPr>
          <w:gridBefore w:val="1"/>
          <w:trHeight w:val="952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12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C12.4 Formuler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un compte-rendu, un rapport d’activité</w:t>
            </w:r>
            <w:r/>
          </w:p>
          <w:p>
            <w:pPr>
              <w:ind w:left="74" w:right="57"/>
              <w:spacing w:after="120" w:before="120"/>
              <w:rPr>
                <w:rFonts w:ascii="Calibri" w:hAnsi="Calibri" w:cs="Calibri"/>
                <w:sz w:val="18"/>
                <w:szCs w:val="20"/>
              </w:rPr>
            </w:pPr>
            <w:r>
              <w:rPr>
                <w:rFonts w:ascii="Calibri" w:hAnsi="Calibri" w:cs="Calibri"/>
                <w:sz w:val="18"/>
                <w:szCs w:val="20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12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ind w:left="-19" w:right="109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Le compte-rendu est factuel et complet</w:t>
            </w:r>
            <w:r/>
          </w:p>
          <w:p>
            <w:pPr>
              <w:ind w:left="-19" w:right="109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Les formules de civilités sont adaptées à la</w:t>
            </w: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situation</w:t>
            </w:r>
            <w:r/>
          </w:p>
          <w:p>
            <w:pPr>
              <w:ind w:left="-19" w:right="109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Le support de</w:t>
            </w: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communication est</w:t>
            </w: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adapté à la situation</w:t>
            </w:r>
            <w:r/>
          </w:p>
          <w:p>
            <w:pPr>
              <w:ind w:left="-19" w:right="109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L’utilisation de l’outil de</w:t>
            </w: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communication est</w:t>
            </w: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maîtrisée</w:t>
            </w:r>
            <w:r/>
          </w:p>
          <w:p>
            <w:pPr>
              <w:ind w:left="-19" w:right="109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Les documents sont</w:t>
            </w: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transmis</w:t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12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r>
              <w:rPr>
                <w:rStyle w:val="660"/>
              </w:rPr>
              <w:t xml:space="preserve">S8.2 : les outils de la communication écrite et numérique</w:t>
            </w:r>
            <w:r/>
          </w:p>
          <w:p>
            <w:pPr>
              <w:ind w:right="91"/>
              <w:spacing w:lineRule="auto" w:line="288" w:after="120" w:before="120"/>
              <w:rPr>
                <w:rFonts w:ascii="Calibri" w:hAnsi="Calibri" w:cs="Calibri"/>
                <w:sz w:val="18"/>
                <w:szCs w:val="18"/>
                <w:lang w:bidi="fr-FR"/>
              </w:rPr>
            </w:pPr>
            <w:r>
              <w:rPr>
                <w:rFonts w:ascii="Calibri" w:hAnsi="Calibri" w:cs="Calibri"/>
                <w:sz w:val="18"/>
                <w:szCs w:val="18"/>
                <w:lang w:bidi="fr-FR"/>
              </w:rPr>
            </w:r>
            <w:r/>
          </w:p>
        </w:tc>
      </w:tr>
      <w:tr>
        <w:trPr>
          <w:gridAfter w:val="1"/>
          <w:trHeight w:val="305"/>
        </w:trPr>
        <w:tc>
          <w:tcPr>
            <w:gridSpan w:val="4"/>
            <w:shd w:val="clear" w:color="auto" w:fill="B7DDE8"/>
            <w:tcBorders>
              <w:left w:val="single" w:color="000001" w:sz="12" w:space="0"/>
              <w:top w:val="single" w:color="000001" w:sz="12" w:space="0"/>
              <w:right w:val="single" w:color="000001" w:sz="12" w:space="0"/>
              <w:bottom w:val="single" w:color="000001" w:sz="6" w:space="0"/>
            </w:tcBorders>
            <w:tcW w:w="10773" w:type="dxa"/>
            <w:vAlign w:val="center"/>
            <w:textDirection w:val="lrTb"/>
            <w:noWrap w:val="false"/>
          </w:tcPr>
          <w:p>
            <w:pPr>
              <w:jc w:val="center"/>
              <w:pageBreakBefore/>
              <w:rPr>
                <w:rFonts w:ascii="Calibri" w:hAnsi="Calibri" w:cs="Calibri" w:eastAsia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Prérequis des élèves</w:t>
            </w:r>
            <w:r/>
          </w:p>
        </w:tc>
      </w:tr>
      <w:tr>
        <w:trPr>
          <w:gridAfter w:val="1"/>
          <w:trHeight w:val="649"/>
        </w:trPr>
        <w:tc>
          <w:tcPr>
            <w:gridSpan w:val="4"/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12" w:space="0"/>
            </w:tcBorders>
            <w:tcW w:w="1077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Avoir effectué et validé </w:t>
            </w: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les activités</w:t>
            </w: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 de </w:t>
            </w: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la séquence </w:t>
            </w: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1 en lien avec la séquence</w:t>
            </w:r>
            <w:r/>
          </w:p>
          <w:p>
            <w:pPr>
              <w:jc w:val="center"/>
              <w:rPr>
                <w:rFonts w:ascii="Calibri" w:hAnsi="Calibri" w:cs="Calibri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***** </w:t>
            </w:r>
            <w:r/>
          </w:p>
          <w:p>
            <w:pPr>
              <w:jc w:val="center"/>
              <w:rPr>
                <w:rFonts w:ascii="Calibri" w:hAnsi="Calibri" w:cs="Calibri" w:eastAsia="Arial"/>
                <w:color w:val="000000"/>
                <w:sz w:val="18"/>
                <w:szCs w:val="16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*****</w:t>
            </w:r>
            <w:r/>
          </w:p>
        </w:tc>
      </w:tr>
    </w:tbl>
    <w:p>
      <w:pPr>
        <w:rPr>
          <w:rFonts w:ascii="Calibri" w:hAnsi="Calibri" w:cs="Calibri"/>
        </w:rPr>
        <w:pBdr>
          <w:left w:val="none" w:sz="0" w:space="0" w:color="auto"/>
          <w:top w:val="none" w:sz="0" w:space="0" w:color="auto"/>
          <w:right w:val="none" w:sz="0" w:space="0" w:color="auto"/>
          <w:bottom w:val="none" w:sz="0" w:space="0" w:color="auto"/>
          <w:between w:val="none" w:sz="0" w:space="0" w:color="auto"/>
        </w:pBdr>
      </w:pPr>
      <w:r>
        <w:rPr>
          <w:rFonts w:ascii="Calibri" w:hAnsi="Calibri" w:cs="Calibri"/>
        </w:rPr>
      </w:r>
      <w:r/>
    </w:p>
    <w:tbl>
      <w:tblPr>
        <w:tblStyle w:val="658"/>
        <w:tblW w:w="10773" w:type="dxa"/>
        <w:tblInd w:w="15" w:type="dxa"/>
        <w:tblCellMar>
          <w:left w:w="108" w:type="dxa"/>
          <w:right w:w="108" w:type="dxa"/>
        </w:tblCellMar>
        <w:tblLook w:val="0000" w:firstRow="0" w:lastRow="0" w:firstColumn="0" w:lastColumn="0" w:noHBand="0" w:noVBand="0"/>
      </w:tblPr>
      <w:tblGrid>
        <w:gridCol w:w="5103"/>
        <w:gridCol w:w="5670"/>
      </w:tblGrid>
      <w:tr>
        <w:trPr>
          <w:trHeight w:val="410"/>
        </w:trPr>
        <w:tc>
          <w:tcPr>
            <w:gridSpan w:val="2"/>
            <w:shd w:val="clear" w:color="auto" w:fill="B7DDE8"/>
            <w:tcBorders>
              <w:left w:val="single" w:color="000001" w:sz="12" w:space="0"/>
              <w:top w:val="single" w:color="000001" w:sz="12" w:space="0"/>
              <w:right w:val="single" w:color="000001" w:sz="12" w:space="0"/>
              <w:bottom w:val="single" w:color="000001" w:sz="6" w:space="0"/>
            </w:tcBorders>
            <w:tcW w:w="10772" w:type="dxa"/>
            <w:vAlign w:val="center"/>
            <w:textDirection w:val="lrTb"/>
            <w:noWrap w:val="false"/>
          </w:tcPr>
          <w:p>
            <w:pPr>
              <w:ind w:left="360"/>
              <w:jc w:val="center"/>
              <w:rPr>
                <w:rFonts w:ascii="Calibri" w:hAnsi="Calibri" w:cs="Calibri" w:eastAsia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Présentation du contexte professionnel</w:t>
            </w:r>
            <w:r/>
          </w:p>
        </w:tc>
      </w:tr>
      <w:tr>
        <w:trPr>
          <w:trHeight w:val="520"/>
        </w:trPr>
        <w:tc>
          <w:tcPr>
            <w:gridSpan w:val="2"/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10772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13"/>
              </w:numPr>
              <w:ind w:left="283"/>
              <w:jc w:val="center"/>
              <w:keepNext/>
              <w:spacing w:after="40"/>
              <w:tabs>
                <w:tab w:val="left" w:pos="0" w:leader="none"/>
              </w:tabs>
              <w:rPr>
                <w:rFonts w:ascii="Calibri" w:hAnsi="Calibri" w:cs="Calibri" w:eastAsia="Calibri"/>
                <w:b/>
                <w:i/>
                <w:color w:val="000000"/>
                <w:sz w:val="18"/>
                <w:szCs w:val="18"/>
              </w:rPr>
              <w:outlineLvl w:val="0"/>
            </w:pP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Le client se plaint d</w:t>
            </w: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’un manque de confort au niveau du plancher chauffant</w:t>
            </w:r>
            <w:r/>
          </w:p>
        </w:tc>
      </w:tr>
      <w:tr>
        <w:trPr>
          <w:trHeight w:val="296"/>
        </w:trPr>
        <w:tc>
          <w:tcPr>
            <w:gridSpan w:val="2"/>
            <w:shd w:val="clear" w:color="auto" w:fill="B7DDE8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1077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Éléments à retenir</w:t>
            </w:r>
            <w:r/>
          </w:p>
        </w:tc>
      </w:tr>
      <w:tr>
        <w:trPr>
          <w:trHeight w:val="580"/>
        </w:trPr>
        <w:tc>
          <w:tcPr>
            <w:gridSpan w:val="2"/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10772" w:type="dxa"/>
            <w:textDirection w:val="lrTb"/>
            <w:noWrap w:val="false"/>
          </w:tcPr>
          <w:p>
            <w:pPr>
              <w:jc w:val="center"/>
              <w:spacing w:lineRule="auto" w:line="276"/>
              <w:widowControl w:val="off"/>
              <w:rPr>
                <w:rFonts w:ascii="Calibri" w:hAnsi="Calibri" w:cs="Calibri" w:eastAsia="Arial"/>
                <w:color w:val="000000"/>
                <w:sz w:val="18"/>
                <w:szCs w:val="16"/>
                <w:u w:val="single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6"/>
                <w:u w:val="single"/>
              </w:rPr>
              <w:t xml:space="preserve">A l’issue de la séquence, l’élève sera capable de :</w:t>
            </w:r>
            <w:r/>
          </w:p>
          <w:p>
            <w:pPr>
              <w:numPr>
                <w:ilvl w:val="0"/>
                <w:numId w:val="12"/>
              </w:numPr>
              <w:contextualSpacing w:val="true"/>
              <w:spacing w:lineRule="auto" w:line="276"/>
              <w:widowControl w:val="off"/>
              <w:rPr>
                <w:rFonts w:ascii="Calibri" w:hAnsi="Calibri" w:cs="Calibri" w:eastAsia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  <w:t xml:space="preserve">D’interpréter un contrat de maintenance</w:t>
            </w:r>
            <w:r/>
          </w:p>
          <w:p>
            <w:pPr>
              <w:numPr>
                <w:ilvl w:val="0"/>
                <w:numId w:val="12"/>
              </w:numPr>
              <w:contextualSpacing w:val="true"/>
              <w:spacing w:lineRule="auto" w:line="276"/>
              <w:widowControl w:val="off"/>
              <w:rPr>
                <w:rFonts w:ascii="Calibri" w:hAnsi="Calibri" w:cs="Calibri" w:eastAsia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  <w:t xml:space="preserve">D’échanger avec le client pour identifier ses besoins et le type de défaillance.</w:t>
            </w:r>
            <w:r/>
          </w:p>
          <w:p>
            <w:pPr>
              <w:numPr>
                <w:ilvl w:val="0"/>
                <w:numId w:val="12"/>
              </w:numPr>
              <w:contextualSpacing w:val="true"/>
              <w:spacing w:lineRule="auto" w:line="276"/>
              <w:widowControl w:val="off"/>
              <w:rPr>
                <w:rFonts w:ascii="Calibri" w:hAnsi="Calibri" w:cs="Calibri" w:eastAsia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  <w:t xml:space="preserve">Lister les causes probables d’une défaillance </w:t>
            </w: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  <w:t xml:space="preserve">du</w:t>
            </w: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  <w:t xml:space="preserve"> système </w:t>
            </w: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  <w:t xml:space="preserve">à partir des constations du client et des relevés</w:t>
            </w:r>
            <w:r/>
          </w:p>
          <w:p>
            <w:pPr>
              <w:numPr>
                <w:ilvl w:val="0"/>
                <w:numId w:val="12"/>
              </w:numPr>
              <w:contextualSpacing w:val="true"/>
              <w:spacing w:lineRule="auto" w:line="276"/>
              <w:widowControl w:val="off"/>
              <w:rPr>
                <w:rFonts w:ascii="Calibri" w:hAnsi="Calibri" w:cs="Calibri" w:eastAsia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  <w:t xml:space="preserve">Identifier différentes pièces administratives en lien avec une intervention de maintenance (contrat, rapport d’activité…)</w:t>
            </w:r>
            <w:r/>
          </w:p>
          <w:p>
            <w:pPr>
              <w:numPr>
                <w:ilvl w:val="0"/>
                <w:numId w:val="12"/>
              </w:numPr>
              <w:contextualSpacing w:val="true"/>
              <w:spacing w:lineRule="auto" w:line="276"/>
              <w:widowControl w:val="off"/>
              <w:rPr>
                <w:rFonts w:ascii="Calibri" w:hAnsi="Calibri" w:cs="Calibri" w:eastAsia="Arial"/>
                <w:color w:val="000000"/>
                <w:sz w:val="16"/>
                <w:szCs w:val="16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  <w:t xml:space="preserve">Rédiger un rapport d’activité</w:t>
            </w:r>
            <w:r/>
          </w:p>
        </w:tc>
      </w:tr>
      <w:tr>
        <w:trPr>
          <w:trHeight w:val="440"/>
        </w:trPr>
        <w:tc>
          <w:tcPr>
            <w:shd w:val="clear" w:color="auto" w:fill="B7DDE8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W w:w="51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Liens avec les autres disciplines</w:t>
            </w:r>
            <w:r/>
          </w:p>
        </w:tc>
        <w:tc>
          <w:tcPr>
            <w:shd w:val="clear" w:color="auto" w:fill="B7DDE8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56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Modalités d’évaluation</w:t>
            </w:r>
            <w:r/>
          </w:p>
        </w:tc>
      </w:tr>
      <w:tr>
        <w:trPr>
          <w:trHeight w:val="590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12" w:space="0"/>
            </w:tcBorders>
            <w:tcW w:w="51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Enseignement de français et sciences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12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5669" w:type="dxa"/>
            <w:textDirection w:val="lrTb"/>
            <w:noWrap w:val="false"/>
          </w:tcPr>
          <w:p>
            <w:pPr>
              <w:jc w:val="both"/>
              <w:rPr>
                <w:rFonts w:ascii="Calibri" w:hAnsi="Calibri" w:cs="Calibri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</w:r>
            <w:r/>
          </w:p>
          <w:p>
            <w:pPr>
              <w:jc w:val="center"/>
              <w:rPr>
                <w:rFonts w:ascii="Calibri" w:hAnsi="Calibri" w:cs="Calibri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Évaluation formative</w:t>
            </w:r>
            <w:r/>
          </w:p>
        </w:tc>
      </w:tr>
    </w:tbl>
    <w:p>
      <w:pPr>
        <w:rPr>
          <w:rFonts w:ascii="Calibri" w:hAnsi="Calibri" w:cs="Calibri"/>
        </w:rPr>
        <w:pBdr>
          <w:left w:val="none" w:sz="0" w:space="0" w:color="auto"/>
          <w:top w:val="none" w:sz="0" w:space="0" w:color="auto"/>
          <w:right w:val="none" w:sz="0" w:space="0" w:color="auto"/>
          <w:bottom w:val="none" w:sz="0" w:space="0" w:color="auto"/>
          <w:between w:val="none" w:sz="0" w:space="0" w:color="auto"/>
        </w:pBdr>
      </w:pPr>
      <w:r>
        <w:rPr>
          <w:rFonts w:ascii="Calibri" w:hAnsi="Calibri" w:cs="Calibri"/>
        </w:rPr>
      </w:r>
      <w:r/>
    </w:p>
    <w:tbl>
      <w:tblPr>
        <w:tblStyle w:val="658"/>
        <w:tblW w:w="10773" w:type="dxa"/>
        <w:tblInd w:w="15" w:type="dxa"/>
        <w:tblCellMar>
          <w:left w:w="108" w:type="dxa"/>
          <w:right w:w="108" w:type="dxa"/>
        </w:tblCellMar>
        <w:tblLook w:val="0000" w:firstRow="0" w:lastRow="0" w:firstColumn="0" w:lastColumn="0" w:noHBand="0" w:noVBand="0"/>
      </w:tblPr>
      <w:tblGrid>
        <w:gridCol w:w="2409"/>
        <w:gridCol w:w="1701"/>
        <w:gridCol w:w="1702"/>
        <w:gridCol w:w="2125"/>
        <w:gridCol w:w="2836"/>
      </w:tblGrid>
      <w:tr>
        <w:trPr>
          <w:trHeight w:val="389"/>
        </w:trPr>
        <w:tc>
          <w:tcPr>
            <w:gridSpan w:val="5"/>
            <w:shd w:val="clear" w:color="auto" w:fill="B7DDE8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1077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Déroulement de la séquence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Questionnement pour mettre en réflexion les élèves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Démarche Pédagogique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Activités élèves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21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Ressources – Matériels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Conclusion - Bilan</w:t>
            </w:r>
            <w:r/>
          </w:p>
        </w:tc>
      </w:tr>
      <w:tr>
        <w:trPr>
          <w:trHeight w:val="1778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09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/>
            <w:bookmarkStart w:id="4" w:name="_Hlk89028971"/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Quels sont les informations laissées par le client sur le message vocal ?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701" w:type="dxa"/>
            <w:vAlign w:val="center"/>
            <w:textDirection w:val="lrTb"/>
            <w:noWrap w:val="false"/>
          </w:tcPr>
          <w:p>
            <w:pPr>
              <w:ind w:left="93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Méthode active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702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Rechercher les informations importantes laissées par le client sur le message vocal.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Identifier les informations pratiques liées à l’intervention.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Identifier les informations manquantes.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2125" w:type="dxa"/>
            <w:vAlign w:val="center"/>
            <w:textDirection w:val="lrTb"/>
            <w:noWrap w:val="false"/>
          </w:tcPr>
          <w:p>
            <w:pPr>
              <w:ind w:left="13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Ressource vocal (message numérique)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36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La prise d’informations auprès de l’utilisateur permet de déclencher l’intervention</w:t>
            </w:r>
            <w:r/>
          </w:p>
        </w:tc>
      </w:tr>
      <w:tr>
        <w:trPr>
          <w:trHeight w:val="1511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09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Quelles sont que doit se poser le technicien et qu’il doit poser au client avant l’intervention ?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701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World café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702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Lister les informations techniques que peut transmettre le client pour faciliter le diagnostique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2125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Salle de lancement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Ressources séquence 3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/>
                <w:color w:val="auto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Contrat d’entretien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36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Importance de la prise de RDV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Utilité du contrat d’entretien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L’élève prend conscience que l’utilisateur est également détenteur d’informations pouvant faciliter l’intervention.</w:t>
            </w:r>
            <w:r/>
          </w:p>
        </w:tc>
      </w:tr>
      <w:tr>
        <w:trPr>
          <w:trHeight w:val="1511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09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Comment constater la défaillance ?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701" w:type="dxa"/>
            <w:vAlign w:val="center"/>
            <w:textDirection w:val="lrTb"/>
            <w:noWrap w:val="false"/>
          </w:tcPr>
          <w:p>
            <w:pPr>
              <w:ind w:left="65"/>
              <w:rPr>
                <w:rFonts w:ascii="Calibri" w:hAnsi="Calibri" w:cs="Calibri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Méthode active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702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Proposer un mode opératoire permettant de constater le dysfonctionnement.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Une fois validé par l’enseignant effectuer le mode opératoire sur le banc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2125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Salle de lancement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Ressources séquence 3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/>
                <w:color w:val="auto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Banc chauffe-eau thermodynamique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36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L’élève identifie le mode opératoire qui permet de constater la défaillance. 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Les informations apportées par l’utilisateur sont confirmées.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La défaillance est constatée</w:t>
            </w:r>
            <w:r/>
          </w:p>
        </w:tc>
      </w:tr>
      <w:tr>
        <w:trPr>
          <w:trHeight w:val="1511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09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Quels sont les </w:t>
            </w: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indicateurs qui garantissent le bon fonctionnement de l’installation ?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701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World café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702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Identifier les valeurs garantissant le bon fonctionnement du système</w:t>
            </w:r>
            <w:r/>
          </w:p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Identifier la campagne de mesurage</w:t>
            </w: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…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2125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Salle de lancement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Ressources séquence 3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Banc 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Connaissances apprenants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36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L’élève renforce l’analyse fonctionnelle et structurelle du système </w:t>
            </w:r>
            <w:r/>
          </w:p>
          <w:p>
            <w:pPr>
              <w:ind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.</w:t>
            </w:r>
            <w:r/>
          </w:p>
        </w:tc>
      </w:tr>
      <w:tr>
        <w:trPr>
          <w:trHeight w:val="1511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09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Comment réaliser l’intervention ?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701" w:type="dxa"/>
            <w:vAlign w:val="center"/>
            <w:textDirection w:val="lrTb"/>
            <w:noWrap w:val="false"/>
          </w:tcPr>
          <w:p>
            <w:pPr>
              <w:ind w:left="79"/>
              <w:rPr>
                <w:rFonts w:ascii="Calibri" w:hAnsi="Calibri" w:cs="Calibri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Méthode expérientielle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702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Réaliser l’intervention en respectant le mode opératoire préalablement établi.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2125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Appareils de mesure </w:t>
            </w:r>
            <w:r/>
          </w:p>
          <w:p>
            <w:pPr>
              <w:ind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Equipements de protection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36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La défaillance est constatée. </w:t>
            </w:r>
            <w:r/>
          </w:p>
        </w:tc>
      </w:tr>
      <w:tr>
        <w:trPr>
          <w:trHeight w:val="1511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09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Quels documents sont à compléter après l’intervention ?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701" w:type="dxa"/>
            <w:vAlign w:val="center"/>
            <w:textDirection w:val="lrTb"/>
            <w:noWrap w:val="false"/>
          </w:tcPr>
          <w:p>
            <w:pPr>
              <w:ind w:left="79"/>
              <w:rPr>
                <w:rFonts w:ascii="Calibri" w:hAnsi="Calibri" w:cs="Calibri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Méthode active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702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Compléter la fiche d’intervention.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Compléter les documents numériques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2125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Fiche d’intervention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Documents numériques proposées par l’enseignant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36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Identifier les démarches administratives après une intervention</w:t>
            </w:r>
            <w:r/>
          </w:p>
        </w:tc>
      </w:tr>
      <w:tr>
        <w:trPr>
          <w:trHeight w:val="1151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12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09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Comment et à qui transmettre les opérations réalisées lors de l’intervention ?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12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701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Méthode expérientielle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12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702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Rédiger un rapport d’intervention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Restituer et transmettre un rapport d’intervention</w:t>
            </w:r>
            <w:r/>
          </w:p>
          <w:p>
            <w:pPr>
              <w:ind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12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2125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Internet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Suite bureautique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12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36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Identifier les faits.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Intégrer uniquement les éléments factuels dans le rapport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L’élève renforce l’analyse fonctionnelle et structurelle du système 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Les formules de civilités sont adaptées à la situation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La maîtrise de l’utilisation de l’outil de communication augmentée</w:t>
            </w:r>
            <w:bookmarkEnd w:id="3"/>
            <w:r/>
            <w:bookmarkEnd w:id="4"/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</w:r>
            <w:r/>
          </w:p>
        </w:tc>
      </w:tr>
    </w:tbl>
    <w:p>
      <w:pPr>
        <w:rPr>
          <w:rFonts w:ascii="Calibri" w:hAnsi="Calibri" w:cs="Calibri"/>
        </w:rPr>
        <w:pBdr>
          <w:left w:val="none" w:sz="0" w:space="0" w:color="auto"/>
          <w:top w:val="none" w:sz="0" w:space="0" w:color="auto"/>
          <w:right w:val="none" w:sz="0" w:space="0" w:color="auto"/>
          <w:bottom w:val="none" w:sz="0" w:space="0" w:color="auto"/>
          <w:between w:val="none" w:sz="0" w:space="0" w:color="auto"/>
        </w:pBdr>
      </w:pPr>
      <w:r>
        <w:rPr>
          <w:rFonts w:ascii="Calibri" w:hAnsi="Calibri" w:cs="Calibri"/>
        </w:rPr>
      </w:r>
      <w:r/>
    </w:p>
    <w:p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  <w:r/>
    </w:p>
    <w:tbl>
      <w:tblPr>
        <w:tblStyle w:val="658"/>
        <w:tblW w:w="10773" w:type="dxa"/>
        <w:tblInd w:w="57" w:type="dxa"/>
        <w:tblCellMar>
          <w:left w:w="57" w:type="dxa"/>
          <w:right w:w="108" w:type="dxa"/>
        </w:tblCellMar>
        <w:tblLook w:val="0000" w:firstRow="0" w:lastRow="0" w:firstColumn="0" w:lastColumn="0" w:noHBand="0" w:noVBand="0"/>
      </w:tblPr>
      <w:tblGrid>
        <w:gridCol w:w="4677"/>
        <w:gridCol w:w="6096"/>
      </w:tblGrid>
      <w:tr>
        <w:trPr>
          <w:trHeight w:val="397"/>
        </w:trPr>
        <w:tc>
          <w:tcPr>
            <w:gridSpan w:val="2"/>
            <w:shd w:val="clear" w:color="auto" w:fill="B7DDE8"/>
            <w:tcBorders>
              <w:left w:val="single" w:color="000001" w:sz="12" w:space="0"/>
              <w:top w:val="single" w:color="000001" w:sz="12" w:space="0"/>
              <w:right w:val="single" w:color="000001" w:sz="12" w:space="0"/>
              <w:bottom w:val="single" w:color="000001" w:sz="6" w:space="0"/>
            </w:tcBorders>
            <w:tcW w:w="10773" w:type="dxa"/>
            <w:vAlign w:val="center"/>
            <w:textDirection w:val="lrTb"/>
            <w:noWrap w:val="false"/>
          </w:tcPr>
          <w:p>
            <w:pPr>
              <w:jc w:val="center"/>
              <w:spacing w:before="120"/>
              <w:rPr>
                <w:rFonts w:ascii="Calibri" w:hAnsi="Calibri" w:cs="Calibri" w:eastAsia="Calibri"/>
                <w:b/>
                <w:color w:val="000000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36"/>
                <w:szCs w:val="36"/>
              </w:rPr>
              <w:t xml:space="preserve">FICHE PÉDAGOGIQUE DE LA SÉQUENCE n°5</w:t>
            </w:r>
            <w:r/>
          </w:p>
        </w:tc>
      </w:tr>
      <w:tr>
        <w:trPr>
          <w:trHeight w:val="666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W w:w="4677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i/>
                <w:color w:val="000000"/>
                <w:sz w:val="8"/>
                <w:szCs w:val="8"/>
              </w:rPr>
            </w:pPr>
            <w:r>
              <w:rPr>
                <w:rFonts w:ascii="Calibri" w:hAnsi="Calibri" w:cs="Calibri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86050" cy="1704975"/>
                      <wp:effectExtent l="0" t="0" r="0" b="0"/>
                      <wp:docPr id="7" name="Image 5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Image 3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86050" cy="1704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mso-wrap-distance-left:0.0pt;mso-wrap-distance-top:0.0pt;mso-wrap-distance-right:0.0pt;mso-wrap-distance-bottom:0.0pt;width:211.5pt;height:134.2pt;" stroked="false">
                      <v:path textboxrect="0,0,0,0"/>
                      <v:imagedata r:id="rId8" o:title=""/>
                    </v:shape>
                  </w:pict>
                </mc:Fallback>
              </mc:AlternateContent>
            </w:r>
            <w:r/>
          </w:p>
          <w:p>
            <w:pPr>
              <w:ind w:left="-107" w:right="141"/>
              <w:jc w:val="center"/>
              <w:tabs>
                <w:tab w:val="left" w:pos="5115" w:leader="none"/>
              </w:tabs>
              <w:rPr>
                <w:rFonts w:ascii="Calibri" w:hAnsi="Calibri" w:cs="Calibri"/>
                <w:b/>
                <w:bCs/>
                <w:color w:val="F79646"/>
              </w:rPr>
            </w:pPr>
            <w:r>
              <w:rPr>
                <w:rFonts w:ascii="Calibri" w:hAnsi="Calibri" w:cs="Calibri"/>
                <w:b/>
                <w:bCs/>
                <w:color w:val="F79646"/>
              </w:rPr>
            </w:r>
            <w:r/>
          </w:p>
          <w:p>
            <w:pPr>
              <w:ind w:left="-107" w:right="141"/>
              <w:jc w:val="center"/>
              <w:tabs>
                <w:tab w:val="left" w:pos="5115" w:leader="none"/>
              </w:tabs>
              <w:rPr>
                <w:rFonts w:ascii="Calibri" w:hAnsi="Calibri" w:cs="Calibri"/>
                <w:b/>
                <w:bCs/>
                <w:color w:val="F79646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F79646" w:themeColor="accent6"/>
                <w:sz w:val="22"/>
              </w:rPr>
              <w:t xml:space="preserve">A partir de la gamme de maintenance et de la documentation</w:t>
            </w:r>
            <w:r>
              <w:rPr>
                <w:rFonts w:ascii="Calibri" w:hAnsi="Calibri" w:cs="Calibri"/>
                <w:b/>
                <w:bCs/>
                <w:color w:val="F79646" w:themeColor="accent6"/>
                <w:sz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79646" w:themeColor="accent6"/>
                <w:sz w:val="22"/>
              </w:rPr>
              <w:t xml:space="preserve">constructeur vous réaliserez les opérations de maintenance préventives 5 ans</w:t>
            </w:r>
            <w:r>
              <w:rPr>
                <w:rFonts w:ascii="Calibri" w:hAnsi="Calibri" w:cs="Calibri"/>
                <w:b/>
                <w:bCs/>
                <w:color w:val="F79646" w:themeColor="accent6"/>
                <w:sz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79646" w:themeColor="accent6"/>
                <w:sz w:val="22"/>
              </w:rPr>
              <w:t xml:space="preserve">après la 1ère mise en service</w:t>
            </w:r>
            <w:r>
              <w:rPr>
                <w:rFonts w:ascii="Calibri" w:hAnsi="Calibri" w:cs="Calibri"/>
                <w:b/>
                <w:bCs/>
                <w:color w:val="F79646" w:themeColor="accent6"/>
                <w:sz w:val="22"/>
              </w:rPr>
              <w:t xml:space="preserve">.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609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14"/>
              </w:numPr>
              <w:jc w:val="center"/>
              <w:keepNext/>
              <w:spacing w:after="40"/>
              <w:tabs>
                <w:tab w:val="left" w:pos="0" w:leader="none"/>
              </w:tabs>
              <w:rPr>
                <w:rFonts w:ascii="Calibri" w:hAnsi="Calibri" w:cs="Calibri" w:eastAsia="Calibri"/>
                <w:b/>
                <w:i/>
                <w:color w:val="000000"/>
                <w:sz w:val="18"/>
                <w:szCs w:val="18"/>
              </w:rPr>
              <w:outlineLvl w:val="0"/>
            </w:pPr>
            <w:r>
              <w:rPr>
                <w:rFonts w:ascii="Calibri" w:hAnsi="Calibri" w:cs="Calibri" w:eastAsia="Calibri"/>
                <w:b/>
                <w:i/>
                <w:color w:val="000000"/>
                <w:sz w:val="18"/>
                <w:szCs w:val="18"/>
              </w:rPr>
              <w:t xml:space="preserve">Problématique</w:t>
            </w:r>
            <w:r/>
          </w:p>
          <w:p>
            <w:pPr>
              <w:ind w:left="-107" w:right="141"/>
              <w:jc w:val="center"/>
              <w:tabs>
                <w:tab w:val="left" w:pos="5115" w:leader="none"/>
              </w:tabs>
              <w:rPr>
                <w:rFonts w:ascii="Calibri" w:hAnsi="Calibri" w:cs="Calibri"/>
                <w:color w:val="auto"/>
              </w:rPr>
            </w:pPr>
            <w:r>
              <w:rPr>
                <w:b/>
                <w:bCs/>
                <w:color w:val="F79646" w:themeColor="accent6"/>
              </w:rPr>
              <w:t xml:space="preserve">Comment assurer la qualité d’une intervention de maintenance préventive et ainsi optimiser l’efficacité énergétique d</w:t>
            </w:r>
            <w:r>
              <w:rPr>
                <w:b/>
                <w:bCs/>
                <w:color w:val="F79646" w:themeColor="accent6"/>
              </w:rPr>
              <w:t xml:space="preserve">e l’installation et du </w:t>
            </w:r>
            <w:r>
              <w:rPr>
                <w:b/>
                <w:bCs/>
                <w:color w:val="F79646" w:themeColor="accent6"/>
              </w:rPr>
              <w:t xml:space="preserve">bâtiment ?</w:t>
            </w:r>
            <w:r/>
          </w:p>
        </w:tc>
      </w:tr>
      <w:tr>
        <w:trPr>
          <w:trHeight w:val="1383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12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4677" w:type="dxa"/>
            <w:vMerge w:val="continue"/>
            <w:textDirection w:val="lrTb"/>
            <w:noWrap w:val="false"/>
          </w:tcPr>
          <w:p>
            <w:pPr>
              <w:spacing w:lineRule="auto" w:line="276"/>
              <w:widowControl w:val="off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12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609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14"/>
              </w:numPr>
              <w:jc w:val="center"/>
              <w:keepNext/>
              <w:spacing w:after="40" w:before="40"/>
              <w:tabs>
                <w:tab w:val="left" w:pos="0" w:leader="none"/>
              </w:tabs>
              <w:rPr>
                <w:rFonts w:ascii="Calibri" w:hAnsi="Calibri" w:cs="Calibri" w:eastAsia="Calibri"/>
                <w:b/>
                <w:i/>
                <w:color w:val="000000"/>
                <w:sz w:val="18"/>
                <w:szCs w:val="18"/>
              </w:rPr>
              <w:outlineLvl w:val="0"/>
            </w:pPr>
            <w:r>
              <w:rPr>
                <w:rFonts w:ascii="Calibri" w:hAnsi="Calibri" w:cs="Calibri" w:eastAsia="Calibri"/>
                <w:b/>
                <w:i/>
                <w:color w:val="000000"/>
                <w:sz w:val="18"/>
                <w:szCs w:val="18"/>
              </w:rPr>
              <w:t xml:space="preserve">Positionnement sur la classe de seconde</w:t>
            </w:r>
            <w:r/>
          </w:p>
          <w:p>
            <w:pPr>
              <w:numPr>
                <w:ilvl w:val="0"/>
                <w:numId w:val="14"/>
              </w:numPr>
              <w:ind w:left="387"/>
              <w:jc w:val="center"/>
              <w:keepNext/>
              <w:spacing w:after="40" w:before="40"/>
              <w:tabs>
                <w:tab w:val="left" w:pos="387" w:leader="none"/>
              </w:tabs>
              <w:rPr>
                <w:rFonts w:ascii="Calibri" w:hAnsi="Calibri" w:cs="Calibri" w:eastAsia="Calibri"/>
                <w:b/>
                <w:i/>
                <w:color w:val="000000"/>
                <w:sz w:val="18"/>
                <w:szCs w:val="18"/>
              </w:rPr>
              <w:outlineLvl w:val="0"/>
            </w:pPr>
            <w:r>
              <w:rPr>
                <w:rFonts w:ascii="Calibri" w:hAnsi="Calibri" w:cs="Calibri" w:eastAsia="Calibri"/>
                <w:b/>
                <w:i/>
                <w:color w:val="000000"/>
                <w:sz w:val="18"/>
                <w:szCs w:val="18"/>
              </w:rPr>
              <w:t xml:space="preserve">Début d’année                                                                               Fin d’année</w:t>
            </w:r>
            <w:r/>
          </w:p>
          <w:tbl>
            <w:tblPr>
              <w:tblStyle w:val="659"/>
              <w:tblW w:w="5295" w:type="dxa"/>
              <w:tblInd w:w="548" w:type="dxa"/>
              <w:tblCellMar>
                <w:right w:w="0" w:type="dxa"/>
              </w:tblCellMar>
              <w:tblLook w:val="0400" w:firstRow="0" w:lastRow="0" w:firstColumn="0" w:lastColumn="0" w:noHBand="0" w:noVBand="1"/>
            </w:tblPr>
            <w:tblGrid>
              <w:gridCol w:w="435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</w:tblGrid>
            <w:tr>
              <w:trPr/>
              <w:tc>
                <w:tcPr>
                  <w:shd w:val="clear" w:color="auto" w:fill="auto"/>
                  <w:tcBorders>
                    <w:left w:val="single" w:color="000000" w:sz="8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434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rFonts w:ascii="Calibri" w:hAnsi="Calibri" w:cs="Calibri"/>
                      <w:color w:val="000000"/>
                      <w:highlight w:val="darkBlue"/>
                    </w:rPr>
                  </w:pPr>
                  <w:r>
                    <w:rPr>
                      <w:rFonts w:ascii="Calibri" w:hAnsi="Calibri" w:cs="Calibri"/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rFonts w:ascii="Calibri" w:hAnsi="Calibri" w:cs="Calibri"/>
                      <w:color w:val="000000"/>
                      <w:highlight w:val="darkBlue"/>
                    </w:rPr>
                  </w:pPr>
                  <w:r>
                    <w:rPr>
                      <w:rFonts w:ascii="Calibri" w:hAnsi="Calibri" w:cs="Calibri"/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rFonts w:ascii="Calibri" w:hAnsi="Calibri" w:cs="Calibri"/>
                      <w:color w:val="000000"/>
                      <w:highlight w:val="darkBlue"/>
                    </w:rPr>
                  </w:pPr>
                  <w:r>
                    <w:rPr>
                      <w:rFonts w:ascii="Calibri" w:hAnsi="Calibri" w:cs="Calibri"/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rFonts w:ascii="Calibri" w:hAnsi="Calibri" w:cs="Calibri"/>
                      <w:color w:val="000000"/>
                      <w:highlight w:val="darkBlue"/>
                    </w:rPr>
                  </w:pPr>
                  <w:r>
                    <w:rPr>
                      <w:rFonts w:ascii="Calibri" w:hAnsi="Calibri" w:cs="Calibri"/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rFonts w:ascii="Calibri" w:hAnsi="Calibri" w:cs="Calibri"/>
                      <w:color w:val="000000"/>
                      <w:highlight w:val="darkBlue"/>
                    </w:rPr>
                  </w:pPr>
                  <w:r>
                    <w:rPr>
                      <w:rFonts w:ascii="Calibri" w:hAnsi="Calibri" w:cs="Calibri"/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rFonts w:ascii="Calibri" w:hAnsi="Calibri" w:cs="Calibri"/>
                      <w:color w:val="000000"/>
                      <w:highlight w:val="darkBlue"/>
                    </w:rPr>
                  </w:pPr>
                  <w:r>
                    <w:rPr>
                      <w:rFonts w:ascii="Calibri" w:hAnsi="Calibri" w:cs="Calibri"/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rFonts w:ascii="Calibri" w:hAnsi="Calibri" w:cs="Calibri"/>
                      <w:color w:val="000000"/>
                      <w:highlight w:val="darkBlue"/>
                    </w:rPr>
                  </w:pPr>
                  <w:r>
                    <w:rPr>
                      <w:rFonts w:ascii="Calibri" w:hAnsi="Calibri" w:cs="Calibri"/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rFonts w:ascii="Calibri" w:hAnsi="Calibri" w:cs="Calibri"/>
                      <w:color w:val="000000"/>
                      <w:highlight w:val="darkBlue"/>
                    </w:rPr>
                  </w:pPr>
                  <w:r>
                    <w:rPr>
                      <w:rFonts w:ascii="Calibri" w:hAnsi="Calibri" w:cs="Calibri"/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00B050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rFonts w:ascii="Calibri" w:hAnsi="Calibri" w:cs="Calibri"/>
                      <w:color w:val="000000"/>
                      <w:highlight w:val="darkBlue"/>
                    </w:rPr>
                  </w:pPr>
                  <w:r>
                    <w:rPr>
                      <w:rFonts w:ascii="Calibri" w:hAnsi="Calibri" w:cs="Calibri"/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00B050"/>
                  <w:tcBorders>
                    <w:left w:val="single" w:color="000000" w:sz="4" w:space="0"/>
                    <w:top w:val="single" w:color="000000" w:sz="8" w:space="0"/>
                    <w:right w:val="single" w:color="000000" w:sz="8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rFonts w:ascii="Calibri" w:hAnsi="Calibri" w:cs="Calibri"/>
                      <w:color w:val="000000"/>
                      <w:highlight w:val="darkBlue"/>
                    </w:rPr>
                  </w:pPr>
                  <w:r>
                    <w:rPr>
                      <w:rFonts w:ascii="Calibri" w:hAnsi="Calibri" w:cs="Calibri"/>
                      <w:color w:val="000000"/>
                      <w:highlight w:val="darkBlue"/>
                    </w:rPr>
                  </w:r>
                  <w:r/>
                </w:p>
              </w:tc>
            </w:tr>
          </w:tbl>
          <w:p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</w:r>
            <w:r/>
          </w:p>
        </w:tc>
      </w:tr>
    </w:tbl>
    <w:p>
      <w:pPr>
        <w:rPr>
          <w:rFonts w:ascii="Calibri" w:hAnsi="Calibri" w:cs="Calibri"/>
        </w:rPr>
        <w:pBdr>
          <w:left w:val="none" w:sz="0" w:space="0" w:color="auto"/>
          <w:top w:val="none" w:sz="0" w:space="0" w:color="auto"/>
          <w:right w:val="none" w:sz="0" w:space="0" w:color="auto"/>
          <w:bottom w:val="none" w:sz="0" w:space="0" w:color="auto"/>
          <w:between w:val="none" w:sz="0" w:space="0" w:color="auto"/>
        </w:pBdr>
      </w:pPr>
      <w:r>
        <w:rPr>
          <w:rFonts w:ascii="Calibri" w:hAnsi="Calibri" w:cs="Calibri"/>
        </w:rPr>
      </w:r>
      <w:r/>
    </w:p>
    <w:tbl>
      <w:tblPr>
        <w:tblStyle w:val="658"/>
        <w:tblW w:w="10815" w:type="dxa"/>
        <w:tblInd w:w="15" w:type="dxa"/>
        <w:tblCellMar>
          <w:left w:w="57" w:type="dxa"/>
          <w:right w:w="108" w:type="dxa"/>
        </w:tblCellMar>
        <w:tblLook w:val="0000" w:firstRow="0" w:lastRow="0" w:firstColumn="0" w:lastColumn="0" w:noHBand="0" w:noVBand="0"/>
      </w:tblPr>
      <w:tblGrid>
        <w:gridCol w:w="42"/>
        <w:gridCol w:w="2267"/>
        <w:gridCol w:w="3402"/>
        <w:gridCol w:w="5062"/>
        <w:gridCol w:w="42"/>
      </w:tblGrid>
      <w:tr>
        <w:trPr>
          <w:gridBefore w:val="1"/>
          <w:trHeight w:val="320"/>
        </w:trPr>
        <w:tc>
          <w:tcPr>
            <w:shd w:val="clear" w:color="auto" w:fill="B7DDE8"/>
            <w:tcBorders>
              <w:left w:val="single" w:color="000001" w:sz="12" w:space="0"/>
              <w:top w:val="single" w:color="000001" w:sz="12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Compétences visées</w:t>
            </w:r>
            <w:r/>
          </w:p>
        </w:tc>
        <w:tc>
          <w:tcPr>
            <w:shd w:val="clear" w:color="auto" w:fill="B7DDE8"/>
            <w:tcBorders>
              <w:left w:val="single" w:color="000001" w:sz="6" w:space="0"/>
              <w:top w:val="single" w:color="000001" w:sz="12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color w:val="000000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Critères d’évaluation</w:t>
            </w:r>
            <w:r/>
          </w:p>
        </w:tc>
        <w:tc>
          <w:tcPr>
            <w:gridSpan w:val="2"/>
            <w:shd w:val="clear" w:color="auto" w:fill="B7DDE8"/>
            <w:tcBorders>
              <w:left w:val="single" w:color="000001" w:sz="6" w:space="0"/>
              <w:top w:val="single" w:color="000001" w:sz="12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Savoirs associés</w:t>
            </w:r>
            <w:r/>
          </w:p>
        </w:tc>
      </w:tr>
      <w:tr>
        <w:trPr>
          <w:gridBefore w:val="1"/>
          <w:trHeight w:val="933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C10.1 Identifier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les opérations prédéfinies liées au contrat de maintenance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rPr>
                <w:rStyle w:val="660"/>
                <w:rFonts w:ascii="Arial" w:hAnsi="Arial" w:cs="Arial"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Le site et le lieu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d’intervention sont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identifiés</w:t>
            </w:r>
            <w:r/>
          </w:p>
          <w:p>
            <w:pPr>
              <w:rPr>
                <w:rStyle w:val="660"/>
                <w:rFonts w:ascii="Arial" w:hAnsi="Arial" w:cs="Arial"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La période d’intervention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est identifiée</w:t>
            </w:r>
            <w:r/>
          </w:p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La collecte des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informations permet de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lister (ou vérifier) toutes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les interventions liées au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contrat de maintenance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et/ou à la gamme de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maintenance</w:t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rPr>
                <w:rStyle w:val="660"/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Style w:val="660"/>
              </w:rPr>
              <w:t xml:space="preserve">S1.3 : les étapes d’une intervention</w:t>
            </w:r>
            <w:r/>
          </w:p>
          <w:p>
            <w:r>
              <w:rPr>
                <w:rStyle w:val="660"/>
              </w:rPr>
              <w:t xml:space="preserve">S1.4 : les procédures administratives</w:t>
            </w:r>
            <w:r/>
          </w:p>
          <w:p>
            <w:pPr>
              <w:rPr>
                <w:rStyle w:val="660"/>
              </w:rPr>
            </w:pPr>
            <w:r>
              <w:rPr>
                <w:rStyle w:val="660"/>
              </w:rPr>
              <w:t xml:space="preserve">S1.5 : les qualifications, garanties et responsabilités</w:t>
            </w:r>
            <w:r/>
          </w:p>
          <w:p>
            <w:r>
              <w:rPr>
                <w:rStyle w:val="660"/>
              </w:rPr>
              <w:t xml:space="preserve">S6.1 : la stratégie, l’organisation et les méthodes de maintenance</w:t>
            </w:r>
            <w:r/>
          </w:p>
          <w:p>
            <w:r>
              <w:rPr>
                <w:rStyle w:val="660"/>
              </w:rPr>
              <w:t xml:space="preserve">S6.2 : les opérations d’exploitation, de mise en service et de maintenance</w:t>
            </w:r>
            <w:r/>
          </w:p>
          <w:p>
            <w:pPr>
              <w:ind w:right="91"/>
              <w:spacing w:lineRule="auto" w:line="288" w:after="120" w:before="120"/>
              <w:rPr>
                <w:rFonts w:ascii="Calibri" w:hAnsi="Calibri" w:cs="Calibri" w:eastAsia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</w:r>
            <w:r/>
          </w:p>
        </w:tc>
      </w:tr>
      <w:tr>
        <w:trPr>
          <w:gridBefore w:val="1"/>
          <w:trHeight w:val="1070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C10.2 Déterminer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une organisation en fonction de l’environnement de travail et les conditions de la maintenance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r>
              <w:rPr>
                <w:rStyle w:val="660"/>
              </w:rPr>
              <w:t xml:space="preserve">L’organisation établie répond aux attentes du contrat de maintenance</w:t>
            </w:r>
            <w:r>
              <w:rPr>
                <w:rFonts w:ascii="ArialMT" w:hAnsi="ArialMT"/>
                <w:color w:val="000000"/>
                <w:sz w:val="20"/>
                <w:szCs w:val="20"/>
              </w:rPr>
              <w:br/>
            </w:r>
            <w:r>
              <w:rPr>
                <w:rStyle w:val="660"/>
              </w:rPr>
              <w:t xml:space="preserve">L’approvisionnement en équipements, matériels et outillages est assurée</w:t>
            </w:r>
            <w:r>
              <w:rPr>
                <w:rFonts w:ascii="ArialMT" w:hAnsi="ArialMT"/>
                <w:color w:val="000000"/>
                <w:sz w:val="20"/>
                <w:szCs w:val="20"/>
              </w:rPr>
              <w:br/>
            </w:r>
            <w:r>
              <w:rPr>
                <w:rStyle w:val="660"/>
              </w:rPr>
              <w:t xml:space="preserve">La procédure d’intervention prend en</w:t>
            </w:r>
            <w:r>
              <w:rPr>
                <w:rFonts w:ascii="ArialMT" w:hAnsi="ArialMT"/>
                <w:color w:val="000000"/>
                <w:sz w:val="20"/>
                <w:szCs w:val="20"/>
              </w:rPr>
              <w:br/>
            </w:r>
            <w:r>
              <w:rPr>
                <w:rStyle w:val="660"/>
              </w:rPr>
              <w:t xml:space="preserve">compte les contraintes techniques du système* (vidanges nécessaires, isolement de parties du système, fonctionnement en mode dégradé…)</w:t>
            </w:r>
            <w:r>
              <w:rPr>
                <w:rFonts w:ascii="ArialMT" w:hAnsi="ArialMT"/>
                <w:color w:val="000000"/>
                <w:sz w:val="20"/>
                <w:szCs w:val="20"/>
              </w:rPr>
              <w:br/>
            </w:r>
            <w:r>
              <w:rPr>
                <w:rStyle w:val="660"/>
              </w:rPr>
              <w:t xml:space="preserve">Le poste de travail est organisé avec ergonomie</w:t>
            </w:r>
            <w:r>
              <w:rPr>
                <w:rFonts w:ascii="ArialMT" w:hAnsi="ArialMT"/>
                <w:color w:val="000000"/>
                <w:sz w:val="20"/>
                <w:szCs w:val="20"/>
              </w:rPr>
              <w:br/>
            </w:r>
            <w:r>
              <w:rPr>
                <w:rStyle w:val="660"/>
              </w:rPr>
              <w:t xml:space="preserve">La sécurité des biens et</w:t>
            </w:r>
            <w:r>
              <w:rPr>
                <w:rStyle w:val="660"/>
              </w:rPr>
              <w:t xml:space="preserve"> </w:t>
            </w:r>
            <w:r>
              <w:rPr>
                <w:rStyle w:val="660"/>
              </w:rPr>
              <w:t xml:space="preserve">des personnes est</w:t>
            </w:r>
            <w:r>
              <w:rPr>
                <w:rStyle w:val="660"/>
              </w:rPr>
              <w:t xml:space="preserve"> </w:t>
            </w:r>
            <w:r>
              <w:rPr>
                <w:rStyle w:val="660"/>
              </w:rPr>
              <w:t xml:space="preserve">assurée</w:t>
            </w:r>
            <w:r/>
          </w:p>
          <w:p>
            <w:pPr>
              <w:ind w:left="-19" w:right="109"/>
              <w:rPr>
                <w:rFonts w:ascii="Arial" w:hAnsi="Arial" w:cs="Arial" w:eastAsia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Calibri"/>
                <w:color w:val="000000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rPr>
                <w:rStyle w:val="660"/>
              </w:rPr>
            </w:pPr>
            <w:r>
              <w:rPr>
                <w:rStyle w:val="660"/>
              </w:rPr>
              <w:t xml:space="preserve">S2.1 : la réglementation énergétique et environnementale</w:t>
            </w:r>
            <w:r/>
          </w:p>
          <w:p>
            <w:r>
              <w:rPr>
                <w:rStyle w:val="660"/>
              </w:rPr>
              <w:t xml:space="preserve">S3.1 : l’analyse fonctionnelle et structurelle</w:t>
            </w:r>
            <w:r/>
          </w:p>
          <w:p>
            <w:r/>
            <w:r/>
          </w:p>
          <w:p>
            <w:pPr>
              <w:ind w:right="91"/>
              <w:spacing w:lineRule="auto" w:line="288" w:after="120" w:before="120"/>
              <w:rPr>
                <w:rFonts w:ascii="Calibri" w:hAnsi="Calibri" w:cs="Calibri" w:eastAsia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</w:r>
            <w:r/>
          </w:p>
        </w:tc>
      </w:tr>
      <w:tr>
        <w:trPr>
          <w:gridBefore w:val="1"/>
          <w:trHeight w:val="1349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C10.3 Contrôler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les données d’exploitation (indicateurs, voyants…) par rapport aux attendus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r>
              <w:rPr>
                <w:rStyle w:val="660"/>
              </w:rPr>
              <w:t xml:space="preserve">Les dérives et signes d’anomalies sont détectés</w:t>
            </w:r>
            <w:r>
              <w:rPr>
                <w:rFonts w:ascii="ArialMT" w:hAnsi="ArialMT"/>
                <w:color w:val="000000"/>
                <w:sz w:val="20"/>
                <w:szCs w:val="20"/>
              </w:rPr>
              <w:br/>
            </w:r>
            <w:r>
              <w:rPr>
                <w:rStyle w:val="660"/>
              </w:rPr>
              <w:t xml:space="preserve">Les désordres éventuels de l’installation sont identifiés</w:t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r>
              <w:rPr>
                <w:rStyle w:val="660"/>
              </w:rPr>
              <w:t xml:space="preserve">S3.1 : l’analyse fonctionnelle et structurelle</w:t>
            </w:r>
            <w:r/>
          </w:p>
        </w:tc>
      </w:tr>
      <w:tr>
        <w:trPr>
          <w:gridBefore w:val="1"/>
          <w:trHeight w:val="1074"/>
        </w:trPr>
        <w:tc>
          <w:tcPr>
            <w:shd w:val="clear" w:color="auto" w:fill="FFFFFF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C10.4 Traiter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les informations de télémaintenance et celles des applications numériques</w:t>
            </w:r>
            <w:r/>
          </w:p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Cs/>
                <w:sz w:val="18"/>
                <w:szCs w:val="20"/>
              </w:rPr>
            </w:r>
            <w:r/>
          </w:p>
        </w:tc>
        <w:tc>
          <w:tcPr>
            <w:shd w:val="clear" w:color="auto" w:fill="FFFFFF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vMerge w:val="restart"/>
            <w:textDirection w:val="lrTb"/>
            <w:noWrap w:val="false"/>
          </w:tcPr>
          <w:p>
            <w:pPr>
              <w:rPr>
                <w:rStyle w:val="660"/>
                <w:rFonts w:ascii="Arial" w:hAnsi="Arial" w:cs="Arial"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Les informations de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télémaintenance et celles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des applications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numériques transmises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sont localisées sur le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système</w:t>
            </w:r>
            <w:r/>
          </w:p>
          <w:p>
            <w:pPr>
              <w:rPr>
                <w:rStyle w:val="660"/>
                <w:rFonts w:ascii="Arial" w:hAnsi="Arial" w:cs="Arial"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Les données de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télémaintenance et celles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des applications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numériques nécessaires à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l’intervention sont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identifiées</w:t>
            </w:r>
            <w:r/>
          </w:p>
          <w:p>
            <w:pPr>
              <w:ind w:right="91"/>
              <w:spacing w:lineRule="auto" w:line="288"/>
              <w:rPr>
                <w:rFonts w:ascii="Arial" w:hAnsi="Arial" w:cs="Arial" w:eastAsia="Calibri"/>
                <w:color w:val="000000"/>
                <w:sz w:val="18"/>
                <w:szCs w:val="18"/>
              </w:rPr>
            </w:pP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L’interprétation de l’écart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(entre la grandeur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indiquée et la grandeur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nominale) est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Style w:val="660"/>
                <w:rFonts w:ascii="Arial" w:hAnsi="Arial" w:cs="Arial"/>
                <w:sz w:val="18"/>
                <w:szCs w:val="18"/>
              </w:rPr>
              <w:t xml:space="preserve">caractérisée</w:t>
            </w:r>
            <w:r/>
          </w:p>
        </w:tc>
        <w:tc>
          <w:tcPr>
            <w:gridSpan w:val="2"/>
            <w:shd w:val="clear" w:color="auto" w:fill="FFFFFF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vMerge w:val="restart"/>
            <w:textDirection w:val="lrTb"/>
            <w:noWrap w:val="false"/>
          </w:tcPr>
          <w:p>
            <w:r>
              <w:rPr>
                <w:rStyle w:val="660"/>
              </w:rPr>
              <w:t xml:space="preserve">S3.1 : l’analyse fonctionnelle et structurelle</w:t>
            </w:r>
            <w:r/>
          </w:p>
          <w:p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</w:r>
            <w:r/>
          </w:p>
        </w:tc>
      </w:tr>
      <w:tr>
        <w:trPr>
          <w:gridBefore w:val="1"/>
          <w:trHeight w:val="780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C10.5 Réaliser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les opérations de maintenance préventive d’ordre technique et réglementaire</w:t>
            </w:r>
            <w:r/>
          </w:p>
          <w:p>
            <w:pPr>
              <w:rPr>
                <w:rFonts w:ascii="Calibri" w:hAnsi="Calibri" w:cs="Calibri"/>
                <w:sz w:val="18"/>
                <w:szCs w:val="20"/>
              </w:rPr>
            </w:pPr>
            <w:r>
              <w:rPr>
                <w:rFonts w:ascii="Calibri" w:hAnsi="Calibri" w:cs="Calibri"/>
                <w:sz w:val="18"/>
                <w:szCs w:val="20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r>
              <w:rPr>
                <w:rStyle w:val="660"/>
              </w:rPr>
              <w:t xml:space="preserve">Le contrôle périodique</w:t>
            </w:r>
            <w:r>
              <w:rPr>
                <w:rStyle w:val="660"/>
              </w:rPr>
              <w:t xml:space="preserve"> </w:t>
            </w:r>
            <w:r>
              <w:rPr>
                <w:rStyle w:val="660"/>
              </w:rPr>
              <w:t xml:space="preserve">d’étanchéité est réalisé</w:t>
            </w:r>
            <w:r>
              <w:rPr>
                <w:rFonts w:ascii="ArialMT" w:hAnsi="ArialMT"/>
                <w:color w:val="000000"/>
                <w:sz w:val="20"/>
                <w:szCs w:val="20"/>
              </w:rPr>
              <w:br/>
            </w:r>
            <w:r>
              <w:rPr>
                <w:rStyle w:val="660"/>
              </w:rPr>
              <w:t xml:space="preserve">Les fluides frigorigènes et</w:t>
            </w:r>
            <w:r>
              <w:rPr>
                <w:rStyle w:val="660"/>
              </w:rPr>
              <w:t xml:space="preserve"> </w:t>
            </w:r>
            <w:r>
              <w:rPr>
                <w:rStyle w:val="660"/>
              </w:rPr>
              <w:t xml:space="preserve">caloporteurs sont</w:t>
            </w:r>
            <w:r>
              <w:rPr>
                <w:rStyle w:val="660"/>
              </w:rPr>
              <w:t xml:space="preserve"> </w:t>
            </w:r>
            <w:r>
              <w:rPr>
                <w:rStyle w:val="660"/>
              </w:rPr>
              <w:t xml:space="preserve">manipulés conformément</w:t>
            </w:r>
            <w:r>
              <w:rPr>
                <w:rStyle w:val="660"/>
              </w:rPr>
              <w:t xml:space="preserve"> </w:t>
            </w:r>
            <w:r>
              <w:rPr>
                <w:rStyle w:val="660"/>
              </w:rPr>
              <w:t xml:space="preserve">aux règles en vigueur</w:t>
            </w:r>
            <w:r>
              <w:rPr>
                <w:rFonts w:ascii="ArialMT" w:hAnsi="ArialMT"/>
                <w:color w:val="000000"/>
                <w:sz w:val="20"/>
                <w:szCs w:val="20"/>
              </w:rPr>
              <w:br/>
            </w:r>
            <w:r>
              <w:rPr>
                <w:rStyle w:val="660"/>
              </w:rPr>
              <w:t xml:space="preserve">Les opérations d’ordre</w:t>
            </w:r>
            <w:r>
              <w:rPr>
                <w:rStyle w:val="660"/>
              </w:rPr>
              <w:t xml:space="preserve"> </w:t>
            </w:r>
            <w:r>
              <w:rPr>
                <w:rStyle w:val="660"/>
              </w:rPr>
              <w:t xml:space="preserve">technique sont réalisées</w:t>
            </w:r>
            <w:r>
              <w:rPr>
                <w:rStyle w:val="660"/>
              </w:rPr>
              <w:t xml:space="preserve"> </w:t>
            </w:r>
            <w:r>
              <w:rPr>
                <w:rStyle w:val="660"/>
              </w:rPr>
              <w:t xml:space="preserve">avec méthode</w:t>
            </w:r>
            <w:r>
              <w:rPr>
                <w:rFonts w:ascii="ArialMT" w:hAnsi="ArialMT"/>
                <w:color w:val="000000"/>
                <w:sz w:val="20"/>
                <w:szCs w:val="20"/>
              </w:rPr>
              <w:br/>
            </w:r>
            <w:r>
              <w:rPr>
                <w:rStyle w:val="660"/>
              </w:rPr>
              <w:t xml:space="preserve">Les modifications de</w:t>
            </w:r>
            <w:r>
              <w:rPr>
                <w:rStyle w:val="660"/>
              </w:rPr>
              <w:t xml:space="preserve"> </w:t>
            </w:r>
            <w:r>
              <w:rPr>
                <w:rStyle w:val="660"/>
              </w:rPr>
              <w:t xml:space="preserve">réglages</w:t>
            </w:r>
            <w:r>
              <w:rPr>
                <w:rStyle w:val="660"/>
              </w:rPr>
              <w:t xml:space="preserve"> </w:t>
            </w:r>
            <w:r>
              <w:rPr>
                <w:rStyle w:val="660"/>
              </w:rPr>
              <w:t xml:space="preserve">nécessaires sont</w:t>
            </w:r>
            <w:r>
              <w:rPr>
                <w:rStyle w:val="660"/>
              </w:rPr>
              <w:t xml:space="preserve"> </w:t>
            </w:r>
            <w:r>
              <w:rPr>
                <w:rStyle w:val="660"/>
              </w:rPr>
              <w:t xml:space="preserve">réalisées</w:t>
            </w:r>
            <w:r>
              <w:rPr>
                <w:rFonts w:ascii="ArialMT" w:hAnsi="ArialMT"/>
                <w:color w:val="000000"/>
                <w:sz w:val="20"/>
                <w:szCs w:val="20"/>
              </w:rPr>
              <w:br/>
            </w:r>
            <w:r>
              <w:rPr>
                <w:rStyle w:val="660"/>
              </w:rPr>
              <w:t xml:space="preserve">Le système est dans les</w:t>
            </w:r>
            <w:r>
              <w:rPr>
                <w:rStyle w:val="660"/>
              </w:rPr>
              <w:t xml:space="preserve"> </w:t>
            </w:r>
            <w:r>
              <w:rPr>
                <w:rStyle w:val="660"/>
              </w:rPr>
              <w:t xml:space="preserve">conditions normales de</w:t>
            </w:r>
            <w:r>
              <w:rPr>
                <w:rStyle w:val="660"/>
              </w:rPr>
              <w:t xml:space="preserve"> </w:t>
            </w:r>
            <w:r>
              <w:rPr>
                <w:rStyle w:val="660"/>
              </w:rPr>
              <w:t xml:space="preserve">fonctionnement</w:t>
            </w:r>
            <w:r>
              <w:rPr>
                <w:rFonts w:ascii="ArialMT" w:hAnsi="ArialMT"/>
                <w:color w:val="000000"/>
                <w:sz w:val="20"/>
                <w:szCs w:val="20"/>
              </w:rPr>
              <w:br/>
            </w:r>
            <w:r>
              <w:rPr>
                <w:rStyle w:val="660"/>
              </w:rPr>
              <w:t xml:space="preserve">La sécurité des</w:t>
            </w:r>
            <w:r>
              <w:rPr>
                <w:rStyle w:val="660"/>
              </w:rPr>
              <w:t xml:space="preserve"> </w:t>
            </w:r>
            <w:r>
              <w:rPr>
                <w:rStyle w:val="660"/>
              </w:rPr>
              <w:t xml:space="preserve">personnes et des biens</w:t>
            </w:r>
            <w:r>
              <w:rPr>
                <w:rStyle w:val="660"/>
              </w:rPr>
              <w:t xml:space="preserve"> </w:t>
            </w:r>
            <w:r>
              <w:rPr>
                <w:rStyle w:val="660"/>
              </w:rPr>
              <w:t xml:space="preserve">est assurée</w:t>
            </w:r>
            <w:r/>
          </w:p>
          <w:p>
            <w:pPr>
              <w:ind w:right="109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r>
              <w:rPr>
                <w:rStyle w:val="660"/>
              </w:rPr>
              <w:t xml:space="preserve">S6.1 : la stratégie, l’organisation et les méthodes de maintenance</w:t>
            </w:r>
            <w:r/>
          </w:p>
          <w:p>
            <w:r>
              <w:rPr>
                <w:rStyle w:val="660"/>
              </w:rPr>
              <w:t xml:space="preserve">S6.2 : les opérations d’exploitation, de mise en service et de maintenance</w:t>
            </w:r>
            <w:r/>
          </w:p>
          <w:p>
            <w:pPr>
              <w:ind w:right="91"/>
              <w:spacing w:lineRule="auto" w:line="288" w:after="120" w:before="120"/>
              <w:rPr>
                <w:rFonts w:ascii="Calibri" w:hAnsi="Calibri" w:cs="Calibri"/>
                <w:sz w:val="18"/>
                <w:szCs w:val="18"/>
                <w:lang w:bidi="fr-FR"/>
              </w:rPr>
            </w:pPr>
            <w:r>
              <w:rPr>
                <w:rFonts w:ascii="Calibri" w:hAnsi="Calibri" w:cs="Calibri"/>
                <w:sz w:val="18"/>
                <w:szCs w:val="18"/>
                <w:lang w:bidi="fr-FR"/>
              </w:rPr>
            </w:r>
            <w:r/>
          </w:p>
        </w:tc>
      </w:tr>
      <w:tr>
        <w:trPr>
          <w:gridBefore w:val="1"/>
          <w:trHeight w:val="780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C10.6 Contrôler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l’état du système après intervention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r>
              <w:rPr>
                <w:rStyle w:val="660"/>
              </w:rPr>
              <w:t xml:space="preserve">Après l’intervention le</w:t>
            </w:r>
            <w:r>
              <w:rPr>
                <w:rStyle w:val="660"/>
              </w:rPr>
              <w:t xml:space="preserve"> </w:t>
            </w:r>
            <w:r>
              <w:rPr>
                <w:rStyle w:val="660"/>
              </w:rPr>
              <w:t xml:space="preserve">fonctionnement normal de</w:t>
            </w:r>
            <w:r>
              <w:rPr>
                <w:rStyle w:val="660"/>
              </w:rPr>
              <w:t xml:space="preserve"> </w:t>
            </w:r>
            <w:r>
              <w:rPr>
                <w:rStyle w:val="660"/>
              </w:rPr>
              <w:t xml:space="preserve">l’installation est constaté</w:t>
            </w:r>
            <w:r>
              <w:rPr>
                <w:rFonts w:ascii="ArialMT" w:hAnsi="ArialMT"/>
                <w:color w:val="000000"/>
                <w:sz w:val="20"/>
                <w:szCs w:val="20"/>
              </w:rPr>
              <w:br/>
            </w:r>
            <w:r>
              <w:rPr>
                <w:rStyle w:val="660"/>
              </w:rPr>
              <w:t xml:space="preserve">ou bien les anomalies</w:t>
            </w:r>
            <w:r>
              <w:rPr>
                <w:rStyle w:val="660"/>
              </w:rPr>
              <w:t xml:space="preserve"> </w:t>
            </w:r>
            <w:r>
              <w:rPr>
                <w:rStyle w:val="660"/>
              </w:rPr>
              <w:t xml:space="preserve">techniques et/ou les</w:t>
            </w:r>
            <w:r>
              <w:rPr>
                <w:rStyle w:val="660"/>
              </w:rPr>
              <w:t xml:space="preserve"> </w:t>
            </w:r>
            <w:r>
              <w:rPr>
                <w:rStyle w:val="660"/>
              </w:rPr>
              <w:t xml:space="preserve">désordres éventuels de</w:t>
            </w:r>
            <w:r>
              <w:rPr>
                <w:rStyle w:val="660"/>
              </w:rPr>
              <w:t xml:space="preserve"> </w:t>
            </w:r>
            <w:r>
              <w:rPr>
                <w:rStyle w:val="660"/>
              </w:rPr>
              <w:t xml:space="preserve">l’installation sont identifiés</w:t>
            </w:r>
            <w:r>
              <w:rPr>
                <w:rFonts w:ascii="ArialMT" w:hAnsi="ArialMT"/>
                <w:color w:val="000000"/>
                <w:sz w:val="20"/>
                <w:szCs w:val="20"/>
              </w:rPr>
              <w:br/>
            </w:r>
            <w:r>
              <w:rPr>
                <w:rStyle w:val="660"/>
              </w:rPr>
              <w:t xml:space="preserve">Les éventuels éléments</w:t>
            </w:r>
            <w:r>
              <w:rPr>
                <w:rStyle w:val="660"/>
              </w:rPr>
              <w:t xml:space="preserve"> </w:t>
            </w:r>
            <w:r>
              <w:rPr>
                <w:rStyle w:val="660"/>
              </w:rPr>
              <w:t xml:space="preserve">défectueux sont identifiés</w:t>
            </w:r>
            <w:r>
              <w:rPr>
                <w:rFonts w:ascii="ArialMT" w:hAnsi="ArialMT"/>
                <w:color w:val="000000"/>
                <w:sz w:val="20"/>
                <w:szCs w:val="20"/>
              </w:rPr>
              <w:br/>
            </w:r>
            <w:r>
              <w:rPr>
                <w:rStyle w:val="660"/>
              </w:rPr>
              <w:t xml:space="preserve">Les informations sont</w:t>
            </w:r>
            <w:r>
              <w:rPr>
                <w:rStyle w:val="660"/>
              </w:rPr>
              <w:t xml:space="preserve"> </w:t>
            </w:r>
            <w:r>
              <w:rPr>
                <w:rStyle w:val="660"/>
              </w:rPr>
              <w:t xml:space="preserve">transmises à la hiérarchie</w:t>
            </w:r>
            <w:r>
              <w:rPr>
                <w:rFonts w:ascii="ArialMT" w:hAnsi="ArialMT"/>
                <w:color w:val="000000"/>
                <w:sz w:val="20"/>
                <w:szCs w:val="20"/>
              </w:rPr>
              <w:br/>
            </w:r>
            <w:r>
              <w:rPr>
                <w:rStyle w:val="660"/>
              </w:rPr>
              <w:t xml:space="preserve">Les documents</w:t>
            </w:r>
            <w:r>
              <w:rPr>
                <w:rStyle w:val="660"/>
              </w:rPr>
              <w:t xml:space="preserve"> </w:t>
            </w:r>
            <w:r>
              <w:rPr>
                <w:rStyle w:val="660"/>
              </w:rPr>
              <w:t xml:space="preserve">techniques et</w:t>
            </w:r>
            <w:r>
              <w:rPr>
                <w:rStyle w:val="660"/>
              </w:rPr>
              <w:t xml:space="preserve"> </w:t>
            </w:r>
            <w:r>
              <w:rPr>
                <w:rStyle w:val="660"/>
              </w:rPr>
              <w:t xml:space="preserve">administratifs sont</w:t>
            </w:r>
            <w:r>
              <w:rPr>
                <w:rStyle w:val="660"/>
              </w:rPr>
              <w:t xml:space="preserve"> </w:t>
            </w:r>
            <w:r>
              <w:rPr>
                <w:rStyle w:val="660"/>
              </w:rPr>
              <w:t xml:space="preserve">complétés</w:t>
            </w:r>
            <w:r/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rPr>
                <w:rStyle w:val="660"/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Style w:val="660"/>
              </w:rPr>
              <w:t xml:space="preserve">S3.1 : l’analyse fonctionnelle et structurelle</w:t>
            </w:r>
            <w:r/>
          </w:p>
          <w:p>
            <w:r>
              <w:rPr>
                <w:rStyle w:val="660"/>
              </w:rPr>
              <w:t xml:space="preserve">S6.2 : les opérations d’exploitation, de mise en service et de maintenance</w:t>
            </w:r>
            <w:r/>
          </w:p>
          <w:p>
            <w:pPr>
              <w:ind w:right="91"/>
              <w:spacing w:lineRule="auto" w:line="288" w:after="120" w:before="120"/>
              <w:rPr>
                <w:rFonts w:ascii="Calibri" w:hAnsi="Calibri" w:cs="Calibri"/>
                <w:sz w:val="18"/>
                <w:szCs w:val="18"/>
                <w:lang w:bidi="fr-FR"/>
              </w:rPr>
            </w:pPr>
            <w:r>
              <w:rPr>
                <w:rFonts w:ascii="Calibri" w:hAnsi="Calibri" w:cs="Calibri"/>
                <w:sz w:val="18"/>
                <w:szCs w:val="18"/>
                <w:lang w:bidi="fr-FR"/>
              </w:rPr>
            </w:r>
            <w:r/>
          </w:p>
        </w:tc>
      </w:tr>
      <w:tr>
        <w:trPr>
          <w:gridBefore w:val="1"/>
          <w:trHeight w:val="780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C10.7 Opérer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le traitement des déchets </w:t>
            </w:r>
            <w:r/>
          </w:p>
          <w:p>
            <w:pPr>
              <w:rPr>
                <w:rFonts w:ascii="Calibri" w:hAnsi="Calibri" w:cs="Calibri"/>
                <w:b/>
                <w:sz w:val="18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r>
              <w:rPr>
                <w:rStyle w:val="660"/>
              </w:rPr>
              <w:t xml:space="preserve">La zone d’intervention</w:t>
            </w:r>
            <w:r>
              <w:rPr>
                <w:rStyle w:val="660"/>
              </w:rPr>
              <w:t xml:space="preserve"> </w:t>
            </w:r>
            <w:r>
              <w:rPr>
                <w:rStyle w:val="660"/>
              </w:rPr>
              <w:t xml:space="preserve">est remise en état</w:t>
            </w:r>
            <w:r>
              <w:rPr>
                <w:rFonts w:ascii="ArialMT" w:hAnsi="ArialMT"/>
                <w:color w:val="000000"/>
                <w:sz w:val="20"/>
                <w:szCs w:val="20"/>
              </w:rPr>
              <w:br/>
            </w:r>
            <w:r>
              <w:rPr>
                <w:rStyle w:val="660"/>
              </w:rPr>
              <w:t xml:space="preserve">Les déchets sont</w:t>
            </w:r>
            <w:r>
              <w:rPr>
                <w:rStyle w:val="660"/>
              </w:rPr>
              <w:t xml:space="preserve"> </w:t>
            </w:r>
            <w:r>
              <w:rPr>
                <w:rStyle w:val="660"/>
              </w:rPr>
              <w:t xml:space="preserve">évacués de façon</w:t>
            </w:r>
            <w:r>
              <w:rPr>
                <w:rStyle w:val="660"/>
              </w:rPr>
              <w:t xml:space="preserve"> </w:t>
            </w:r>
            <w:r>
              <w:rPr>
                <w:rStyle w:val="660"/>
              </w:rPr>
              <w:t xml:space="preserve">écoresponsable et</w:t>
            </w:r>
            <w:r>
              <w:rPr>
                <w:rStyle w:val="660"/>
              </w:rPr>
              <w:t xml:space="preserve"> </w:t>
            </w:r>
            <w:r>
              <w:rPr>
                <w:rStyle w:val="660"/>
              </w:rPr>
              <w:t xml:space="preserve">conformément aux</w:t>
            </w:r>
            <w:r>
              <w:rPr>
                <w:rFonts w:ascii="ArialMT" w:hAnsi="ArialMT"/>
                <w:color w:val="000000"/>
                <w:sz w:val="20"/>
                <w:szCs w:val="20"/>
              </w:rPr>
              <w:br/>
            </w:r>
            <w:r>
              <w:rPr>
                <w:rStyle w:val="660"/>
              </w:rPr>
              <w:t xml:space="preserve">règles en vigueur</w:t>
            </w:r>
            <w:r>
              <w:rPr>
                <w:rFonts w:ascii="ArialMT" w:hAnsi="ArialMT"/>
                <w:color w:val="000000"/>
                <w:sz w:val="20"/>
                <w:szCs w:val="20"/>
              </w:rPr>
              <w:br/>
            </w:r>
            <w:r>
              <w:rPr>
                <w:rStyle w:val="660"/>
              </w:rPr>
              <w:t xml:space="preserve">La sécurité des personnes</w:t>
            </w:r>
            <w:r>
              <w:rPr>
                <w:rStyle w:val="660"/>
              </w:rPr>
              <w:t xml:space="preserve"> </w:t>
            </w:r>
            <w:r>
              <w:rPr>
                <w:rStyle w:val="660"/>
              </w:rPr>
              <w:t xml:space="preserve">et des biens est assurée</w:t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r>
              <w:rPr>
                <w:rStyle w:val="660"/>
              </w:rPr>
              <w:t xml:space="preserve">S7.2 : la gestion des déchets</w:t>
            </w:r>
            <w:r/>
          </w:p>
        </w:tc>
      </w:tr>
      <w:tr>
        <w:trPr>
          <w:gridBefore w:val="1"/>
          <w:trHeight w:val="780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C13.1 Interpréter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les informations du client et/ou l’exploitant sur ses besoins</w:t>
            </w:r>
            <w:r/>
          </w:p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Cs/>
                <w:sz w:val="18"/>
                <w:szCs w:val="20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r>
              <w:rPr>
                <w:rStyle w:val="660"/>
              </w:rPr>
              <w:t xml:space="preserve">Les besoins de l’exploitant sont identifiés et interprétés</w:t>
            </w:r>
            <w:r/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rPr>
                <w:rStyle w:val="660"/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Style w:val="660"/>
              </w:rPr>
              <w:t xml:space="preserve">S8.1 : la communication orale</w:t>
            </w:r>
            <w:r/>
          </w:p>
          <w:p>
            <w:r>
              <w:rPr>
                <w:rStyle w:val="660"/>
              </w:rPr>
              <w:t xml:space="preserve">S8.2 : les outils de la communication écrite et numérique</w:t>
            </w:r>
            <w:r/>
          </w:p>
        </w:tc>
      </w:tr>
      <w:tr>
        <w:trPr>
          <w:gridBefore w:val="1"/>
          <w:trHeight w:val="780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C13.2 Expliquer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le fonctionnement et l’utilisation de l’installation au client et/ou à l’exploitant  </w:t>
            </w:r>
            <w:r/>
          </w:p>
          <w:p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r>
              <w:rPr>
                <w:rStyle w:val="660"/>
              </w:rPr>
              <w:t xml:space="preserve">Les explications sont correctes</w:t>
            </w:r>
            <w:r>
              <w:rPr>
                <w:rFonts w:ascii="ArialMT" w:hAnsi="ArialMT"/>
                <w:color w:val="000000"/>
                <w:sz w:val="20"/>
                <w:szCs w:val="20"/>
              </w:rPr>
              <w:br/>
            </w:r>
            <w:r>
              <w:rPr>
                <w:rStyle w:val="660"/>
              </w:rPr>
              <w:t xml:space="preserve">Les explications permettent l’utilisation de l’installation par l’exploitant et/ou le client</w:t>
            </w:r>
            <w:r/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r>
              <w:rPr>
                <w:rStyle w:val="660"/>
              </w:rPr>
              <w:t xml:space="preserve">S8.1 : la communication orale</w:t>
            </w:r>
            <w:r/>
          </w:p>
        </w:tc>
      </w:tr>
      <w:tr>
        <w:trPr>
          <w:gridBefore w:val="1"/>
          <w:trHeight w:val="780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C13.3 Informer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oralement des consignes de sécurité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rPr>
                <w:rStyle w:val="660"/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Style w:val="660"/>
              </w:rPr>
              <w:t xml:space="preserve">Les consignes de sécurité sont présentées et détaillées</w:t>
            </w:r>
            <w:r>
              <w:rPr>
                <w:rFonts w:ascii="ArialMT" w:hAnsi="ArialMT"/>
                <w:color w:val="000000"/>
                <w:sz w:val="20"/>
                <w:szCs w:val="20"/>
              </w:rPr>
              <w:br/>
            </w:r>
            <w:r>
              <w:rPr>
                <w:rStyle w:val="660"/>
              </w:rPr>
              <w:t xml:space="preserve">La sécurité des usagers et de l’installation est assurée</w:t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r>
              <w:rPr>
                <w:rStyle w:val="660"/>
              </w:rPr>
              <w:t xml:space="preserve">S7.1 : le processus qualité</w:t>
            </w:r>
            <w:r/>
          </w:p>
          <w:p>
            <w:pPr>
              <w:ind w:right="91"/>
              <w:spacing w:lineRule="auto" w:line="288" w:after="120" w:before="120"/>
              <w:rPr>
                <w:rFonts w:ascii="Calibri" w:hAnsi="Calibri" w:cs="Calibri"/>
                <w:sz w:val="18"/>
                <w:szCs w:val="18"/>
                <w:lang w:bidi="fr-FR"/>
              </w:rPr>
            </w:pPr>
            <w:r>
              <w:rPr>
                <w:rFonts w:ascii="Calibri" w:hAnsi="Calibri" w:cs="Calibri"/>
                <w:sz w:val="18"/>
                <w:szCs w:val="18"/>
                <w:lang w:bidi="fr-FR"/>
              </w:rPr>
            </w:r>
            <w:r/>
          </w:p>
        </w:tc>
      </w:tr>
      <w:tr>
        <w:trPr>
          <w:gridBefore w:val="1"/>
          <w:trHeight w:val="780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C13.4 Communiquer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avec le client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rPr>
                <w:rStyle w:val="660"/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Style w:val="660"/>
              </w:rPr>
              <w:t xml:space="preserve">Le langage utilisé est adapté à la situation</w:t>
            </w:r>
            <w:r>
              <w:rPr>
                <w:rFonts w:ascii="ArialMT" w:hAnsi="ArialMT"/>
                <w:color w:val="000000"/>
                <w:sz w:val="20"/>
                <w:szCs w:val="20"/>
              </w:rPr>
              <w:br/>
            </w:r>
            <w:r>
              <w:rPr>
                <w:rStyle w:val="660"/>
              </w:rPr>
              <w:t xml:space="preserve">Les formules de civilités sont adaptées à la situation</w:t>
            </w:r>
            <w:r>
              <w:rPr>
                <w:rFonts w:ascii="ArialMT" w:hAnsi="ArialMT"/>
                <w:color w:val="000000"/>
                <w:sz w:val="20"/>
                <w:szCs w:val="20"/>
              </w:rPr>
              <w:br/>
            </w:r>
            <w:r>
              <w:rPr>
                <w:rStyle w:val="660"/>
              </w:rPr>
              <w:t xml:space="preserve">Le support de communication est</w:t>
            </w:r>
            <w:r>
              <w:rPr>
                <w:rFonts w:ascii="ArialMT" w:hAnsi="ArialMT"/>
                <w:color w:val="000000"/>
                <w:sz w:val="20"/>
                <w:szCs w:val="20"/>
              </w:rPr>
              <w:br/>
            </w:r>
            <w:r>
              <w:rPr>
                <w:rStyle w:val="660"/>
              </w:rPr>
              <w:t xml:space="preserve">adapté à la situation</w:t>
            </w:r>
            <w:r>
              <w:rPr>
                <w:rFonts w:ascii="ArialMT" w:hAnsi="ArialMT"/>
                <w:color w:val="000000"/>
                <w:sz w:val="20"/>
                <w:szCs w:val="20"/>
              </w:rPr>
              <w:br/>
            </w:r>
            <w:r>
              <w:rPr>
                <w:rStyle w:val="660"/>
              </w:rPr>
              <w:t xml:space="preserve">L’utilisation de l’outil de communication est maîtrisée.</w:t>
            </w:r>
            <w:r>
              <w:rPr>
                <w:rFonts w:ascii="ArialMT" w:hAnsi="ArialMT"/>
                <w:color w:val="000000"/>
                <w:sz w:val="20"/>
                <w:szCs w:val="20"/>
              </w:rPr>
              <w:br/>
            </w:r>
            <w:r>
              <w:rPr>
                <w:rStyle w:val="660"/>
              </w:rPr>
              <w:t xml:space="preserve">Les échanges sont transmis à la hiérarchie </w:t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r>
              <w:rPr>
                <w:rStyle w:val="660"/>
              </w:rPr>
              <w:t xml:space="preserve">S8.1 : la communication orale</w:t>
            </w:r>
            <w:r/>
          </w:p>
          <w:p>
            <w:r>
              <w:rPr>
                <w:rStyle w:val="660"/>
              </w:rPr>
              <w:t xml:space="preserve">S8.2 : les outils de la communication écrite et numérique</w:t>
            </w:r>
            <w:r/>
          </w:p>
          <w:p>
            <w:pPr>
              <w:ind w:right="91"/>
              <w:spacing w:lineRule="auto" w:line="288" w:after="120" w:before="120"/>
              <w:rPr>
                <w:rFonts w:ascii="Calibri" w:hAnsi="Calibri" w:cs="Calibri"/>
                <w:sz w:val="18"/>
                <w:szCs w:val="18"/>
                <w:lang w:bidi="fr-FR"/>
              </w:rPr>
            </w:pPr>
            <w:r>
              <w:rPr>
                <w:rFonts w:ascii="Calibri" w:hAnsi="Calibri" w:cs="Calibri"/>
                <w:sz w:val="18"/>
                <w:szCs w:val="18"/>
                <w:lang w:bidi="fr-FR"/>
              </w:rPr>
            </w:r>
            <w:r/>
          </w:p>
        </w:tc>
      </w:tr>
      <w:tr>
        <w:trPr>
          <w:gridBefore w:val="1"/>
          <w:trHeight w:val="952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12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ind w:left="74" w:right="57"/>
              <w:spacing w:after="120" w:before="120"/>
              <w:rPr>
                <w:rFonts w:ascii="Calibri" w:hAnsi="Calibri" w:cs="Calibri"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C13.5 Déterminer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une solution technique pour le client et/ou l’exploitant 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12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r>
              <w:rPr>
                <w:rStyle w:val="660"/>
              </w:rPr>
              <w:t xml:space="preserve">La solution technique proposée est correcte</w:t>
            </w:r>
            <w:r/>
          </w:p>
          <w:p>
            <w:pPr>
              <w:ind w:left="-19" w:right="109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12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rPr>
                <w:rStyle w:val="660"/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Style w:val="660"/>
              </w:rPr>
              <w:t xml:space="preserve">S3.1 : l’analyse fonctionnelle et structurelle</w:t>
            </w:r>
            <w:r/>
          </w:p>
          <w:p>
            <w:r>
              <w:rPr>
                <w:rStyle w:val="660"/>
              </w:rPr>
              <w:t xml:space="preserve">S8.2 : les outils de la communication écrite et numérique</w:t>
            </w:r>
            <w:r/>
          </w:p>
        </w:tc>
      </w:tr>
      <w:tr>
        <w:trPr>
          <w:gridAfter w:val="1"/>
          <w:trHeight w:val="305"/>
        </w:trPr>
        <w:tc>
          <w:tcPr>
            <w:gridSpan w:val="4"/>
            <w:shd w:val="clear" w:color="auto" w:fill="B7DDE8"/>
            <w:tcBorders>
              <w:left w:val="single" w:color="000001" w:sz="12" w:space="0"/>
              <w:top w:val="single" w:color="000001" w:sz="12" w:space="0"/>
              <w:right w:val="single" w:color="000001" w:sz="12" w:space="0"/>
              <w:bottom w:val="single" w:color="000001" w:sz="6" w:space="0"/>
            </w:tcBorders>
            <w:tcW w:w="10773" w:type="dxa"/>
            <w:vAlign w:val="center"/>
            <w:textDirection w:val="lrTb"/>
            <w:noWrap w:val="false"/>
          </w:tcPr>
          <w:p>
            <w:pPr>
              <w:jc w:val="center"/>
              <w:pageBreakBefore/>
              <w:rPr>
                <w:rFonts w:ascii="Calibri" w:hAnsi="Calibri" w:cs="Calibri" w:eastAsia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Prérequis des élèves</w:t>
            </w:r>
            <w:r/>
          </w:p>
        </w:tc>
      </w:tr>
      <w:tr>
        <w:trPr>
          <w:gridAfter w:val="1"/>
          <w:trHeight w:val="649"/>
        </w:trPr>
        <w:tc>
          <w:tcPr>
            <w:gridSpan w:val="4"/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12" w:space="0"/>
            </w:tcBorders>
            <w:tcW w:w="1077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Avoir effectué et validé les activité de la séquence 1 en lien avec la séquence</w:t>
            </w:r>
            <w:r/>
          </w:p>
          <w:p>
            <w:pPr>
              <w:jc w:val="center"/>
              <w:rPr>
                <w:rFonts w:ascii="Calibri" w:hAnsi="Calibri" w:cs="Calibri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***** </w:t>
            </w:r>
            <w:r/>
          </w:p>
          <w:p>
            <w:pPr>
              <w:jc w:val="center"/>
              <w:rPr>
                <w:rFonts w:ascii="Calibri" w:hAnsi="Calibri" w:cs="Calibri" w:eastAsia="Arial"/>
                <w:color w:val="000000"/>
                <w:sz w:val="18"/>
                <w:szCs w:val="16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*****</w:t>
            </w:r>
            <w:r/>
          </w:p>
        </w:tc>
      </w:tr>
    </w:tbl>
    <w:p>
      <w:pPr>
        <w:rPr>
          <w:rFonts w:ascii="Calibri" w:hAnsi="Calibri" w:cs="Calibri"/>
        </w:rPr>
        <w:pBdr>
          <w:left w:val="none" w:sz="0" w:space="0" w:color="auto"/>
          <w:top w:val="none" w:sz="0" w:space="0" w:color="auto"/>
          <w:right w:val="none" w:sz="0" w:space="0" w:color="auto"/>
          <w:bottom w:val="none" w:sz="0" w:space="0" w:color="auto"/>
          <w:between w:val="none" w:sz="0" w:space="0" w:color="auto"/>
        </w:pBdr>
      </w:pPr>
      <w:r>
        <w:rPr>
          <w:rFonts w:ascii="Calibri" w:hAnsi="Calibri" w:cs="Calibri"/>
        </w:rPr>
      </w:r>
      <w:r/>
    </w:p>
    <w:tbl>
      <w:tblPr>
        <w:tblStyle w:val="658"/>
        <w:tblW w:w="10773" w:type="dxa"/>
        <w:tblInd w:w="15" w:type="dxa"/>
        <w:tblCellMar>
          <w:left w:w="108" w:type="dxa"/>
          <w:right w:w="108" w:type="dxa"/>
        </w:tblCellMar>
        <w:tblLook w:val="0000" w:firstRow="0" w:lastRow="0" w:firstColumn="0" w:lastColumn="0" w:noHBand="0" w:noVBand="0"/>
      </w:tblPr>
      <w:tblGrid>
        <w:gridCol w:w="5103"/>
        <w:gridCol w:w="5670"/>
      </w:tblGrid>
      <w:tr>
        <w:trPr>
          <w:trHeight w:val="410"/>
        </w:trPr>
        <w:tc>
          <w:tcPr>
            <w:gridSpan w:val="2"/>
            <w:shd w:val="clear" w:color="auto" w:fill="B7DDE8"/>
            <w:tcBorders>
              <w:left w:val="single" w:color="000001" w:sz="12" w:space="0"/>
              <w:top w:val="single" w:color="000001" w:sz="12" w:space="0"/>
              <w:right w:val="single" w:color="000001" w:sz="12" w:space="0"/>
              <w:bottom w:val="single" w:color="000001" w:sz="6" w:space="0"/>
            </w:tcBorders>
            <w:tcW w:w="10772" w:type="dxa"/>
            <w:vAlign w:val="center"/>
            <w:textDirection w:val="lrTb"/>
            <w:noWrap w:val="false"/>
          </w:tcPr>
          <w:p>
            <w:pPr>
              <w:ind w:left="360"/>
              <w:jc w:val="center"/>
              <w:rPr>
                <w:rFonts w:ascii="Calibri" w:hAnsi="Calibri" w:cs="Calibri" w:eastAsia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Présentation du contexte professionnel</w:t>
            </w:r>
            <w:r/>
          </w:p>
        </w:tc>
      </w:tr>
      <w:tr>
        <w:trPr>
          <w:trHeight w:val="520"/>
        </w:trPr>
        <w:tc>
          <w:tcPr>
            <w:gridSpan w:val="2"/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10772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13"/>
              </w:numPr>
              <w:ind w:left="283"/>
              <w:jc w:val="center"/>
              <w:keepNext/>
              <w:spacing w:after="40"/>
              <w:tabs>
                <w:tab w:val="left" w:pos="0" w:leader="none"/>
              </w:tabs>
              <w:rPr>
                <w:rFonts w:ascii="Calibri" w:hAnsi="Calibri" w:cs="Calibri" w:eastAsia="Calibri"/>
                <w:b/>
                <w:i/>
                <w:color w:val="000000"/>
                <w:sz w:val="18"/>
                <w:szCs w:val="18"/>
              </w:rPr>
              <w:outlineLvl w:val="0"/>
            </w:pP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A partir de la gamme de maintenance et de la documentation constructeur vous réaliserez les opérations de maintenance préventives 5 ans après la 1ère mise en service</w:t>
            </w:r>
            <w:r/>
          </w:p>
        </w:tc>
      </w:tr>
      <w:tr>
        <w:trPr>
          <w:trHeight w:val="296"/>
        </w:trPr>
        <w:tc>
          <w:tcPr>
            <w:gridSpan w:val="2"/>
            <w:shd w:val="clear" w:color="auto" w:fill="B7DDE8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1077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Éléments à retenir</w:t>
            </w:r>
            <w:r/>
          </w:p>
        </w:tc>
      </w:tr>
      <w:tr>
        <w:trPr>
          <w:trHeight w:val="580"/>
        </w:trPr>
        <w:tc>
          <w:tcPr>
            <w:gridSpan w:val="2"/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10772" w:type="dxa"/>
            <w:textDirection w:val="lrTb"/>
            <w:noWrap w:val="false"/>
          </w:tcPr>
          <w:p>
            <w:pPr>
              <w:jc w:val="center"/>
              <w:spacing w:lineRule="auto" w:line="276"/>
              <w:widowControl w:val="off"/>
              <w:rPr>
                <w:rFonts w:ascii="Calibri" w:hAnsi="Calibri" w:cs="Calibri" w:eastAsia="Arial"/>
                <w:color w:val="000000"/>
                <w:sz w:val="18"/>
                <w:szCs w:val="16"/>
                <w:u w:val="single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6"/>
                <w:u w:val="single"/>
              </w:rPr>
              <w:t xml:space="preserve">A l’issue de la séquence, l’élève sera capable de :</w:t>
            </w:r>
            <w:r/>
          </w:p>
          <w:p>
            <w:pPr>
              <w:numPr>
                <w:ilvl w:val="0"/>
                <w:numId w:val="12"/>
              </w:numPr>
              <w:contextualSpacing w:val="true"/>
              <w:spacing w:lineRule="auto" w:line="276"/>
              <w:widowControl w:val="off"/>
              <w:rPr>
                <w:rFonts w:ascii="Calibri" w:hAnsi="Calibri" w:cs="Calibri" w:eastAsia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  <w:t xml:space="preserve">D’interpréter un contrat de maintenance</w:t>
            </w:r>
            <w:r/>
          </w:p>
          <w:p>
            <w:pPr>
              <w:numPr>
                <w:ilvl w:val="0"/>
                <w:numId w:val="12"/>
              </w:numPr>
              <w:contextualSpacing w:val="true"/>
              <w:spacing w:lineRule="auto" w:line="276"/>
              <w:widowControl w:val="off"/>
              <w:rPr>
                <w:rFonts w:ascii="Calibri" w:hAnsi="Calibri" w:cs="Calibri" w:eastAsia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  <w:t xml:space="preserve">D’échanger avec le client pour identifier ses besoins et le type de défaillance.</w:t>
            </w:r>
            <w:r/>
          </w:p>
          <w:p>
            <w:pPr>
              <w:numPr>
                <w:ilvl w:val="0"/>
                <w:numId w:val="12"/>
              </w:numPr>
              <w:contextualSpacing w:val="true"/>
              <w:spacing w:lineRule="auto" w:line="276"/>
              <w:widowControl w:val="off"/>
              <w:rPr>
                <w:rFonts w:ascii="Calibri" w:hAnsi="Calibri" w:cs="Calibri" w:eastAsia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  <w:t xml:space="preserve">Lister les causes probables d’une défaillance sur un système équipé d’un ballon thermodynamique alimenté électriquement par des capteurs photovoltaïques </w:t>
            </w:r>
            <w:r/>
          </w:p>
          <w:p>
            <w:pPr>
              <w:numPr>
                <w:ilvl w:val="0"/>
                <w:numId w:val="12"/>
              </w:numPr>
              <w:contextualSpacing w:val="true"/>
              <w:spacing w:lineRule="auto" w:line="276"/>
              <w:widowControl w:val="off"/>
              <w:rPr>
                <w:rFonts w:ascii="Calibri" w:hAnsi="Calibri" w:cs="Calibri" w:eastAsia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  <w:t xml:space="preserve">Identifier différentes pièces administratives en lien avec une intervention de maintenance (contrat, rapport d’activité…)</w:t>
            </w:r>
            <w:r/>
          </w:p>
          <w:p>
            <w:pPr>
              <w:numPr>
                <w:ilvl w:val="0"/>
                <w:numId w:val="12"/>
              </w:numPr>
              <w:contextualSpacing w:val="true"/>
              <w:spacing w:lineRule="auto" w:line="276"/>
              <w:widowControl w:val="off"/>
              <w:rPr>
                <w:rFonts w:ascii="Calibri" w:hAnsi="Calibri" w:cs="Calibri" w:eastAsia="Arial"/>
                <w:color w:val="000000"/>
                <w:sz w:val="16"/>
                <w:szCs w:val="16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  <w:t xml:space="preserve">Rédiger un rapport d’activité</w:t>
            </w:r>
            <w:r/>
          </w:p>
        </w:tc>
      </w:tr>
      <w:tr>
        <w:trPr>
          <w:trHeight w:val="440"/>
        </w:trPr>
        <w:tc>
          <w:tcPr>
            <w:shd w:val="clear" w:color="auto" w:fill="B7DDE8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W w:w="51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Liens avec les autres disciplines</w:t>
            </w:r>
            <w:r/>
          </w:p>
        </w:tc>
        <w:tc>
          <w:tcPr>
            <w:shd w:val="clear" w:color="auto" w:fill="B7DDE8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56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Modalités d’évaluation</w:t>
            </w:r>
            <w:r/>
          </w:p>
        </w:tc>
      </w:tr>
      <w:tr>
        <w:trPr>
          <w:trHeight w:val="590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12" w:space="0"/>
            </w:tcBorders>
            <w:tcW w:w="51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Enseignement de français et sciences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12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5669" w:type="dxa"/>
            <w:textDirection w:val="lrTb"/>
            <w:noWrap w:val="false"/>
          </w:tcPr>
          <w:p>
            <w:pPr>
              <w:jc w:val="both"/>
              <w:rPr>
                <w:rFonts w:ascii="Calibri" w:hAnsi="Calibri" w:cs="Calibri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</w:r>
            <w:r/>
          </w:p>
          <w:p>
            <w:pPr>
              <w:jc w:val="center"/>
              <w:rPr>
                <w:rFonts w:ascii="Calibri" w:hAnsi="Calibri" w:cs="Calibri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Évaluation formative</w:t>
            </w:r>
            <w:r/>
          </w:p>
        </w:tc>
      </w:tr>
    </w:tbl>
    <w:p>
      <w:pPr>
        <w:rPr>
          <w:rFonts w:ascii="Calibri" w:hAnsi="Calibri" w:cs="Calibri"/>
        </w:rPr>
        <w:pBdr>
          <w:left w:val="none" w:sz="0" w:space="0" w:color="auto"/>
          <w:top w:val="none" w:sz="0" w:space="0" w:color="auto"/>
          <w:right w:val="none" w:sz="0" w:space="0" w:color="auto"/>
          <w:bottom w:val="none" w:sz="0" w:space="0" w:color="auto"/>
          <w:between w:val="none" w:sz="0" w:space="0" w:color="auto"/>
        </w:pBdr>
      </w:pPr>
      <w:r>
        <w:rPr>
          <w:rFonts w:ascii="Calibri" w:hAnsi="Calibri" w:cs="Calibri"/>
        </w:rPr>
      </w:r>
      <w:r/>
    </w:p>
    <w:tbl>
      <w:tblPr>
        <w:tblStyle w:val="658"/>
        <w:tblW w:w="10773" w:type="dxa"/>
        <w:tblInd w:w="15" w:type="dxa"/>
        <w:tblCellMar>
          <w:left w:w="108" w:type="dxa"/>
          <w:right w:w="108" w:type="dxa"/>
        </w:tblCellMar>
        <w:tblLook w:val="0000" w:firstRow="0" w:lastRow="0" w:firstColumn="0" w:lastColumn="0" w:noHBand="0" w:noVBand="0"/>
      </w:tblPr>
      <w:tblGrid>
        <w:gridCol w:w="2409"/>
        <w:gridCol w:w="1701"/>
        <w:gridCol w:w="1702"/>
        <w:gridCol w:w="2125"/>
        <w:gridCol w:w="2836"/>
      </w:tblGrid>
      <w:tr>
        <w:trPr>
          <w:trHeight w:val="389"/>
        </w:trPr>
        <w:tc>
          <w:tcPr>
            <w:gridSpan w:val="5"/>
            <w:shd w:val="clear" w:color="auto" w:fill="B7DDE8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1077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Déroulement de la séquence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Questionnement pour mettre en réflexion les élèves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Démarche Pédagogique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Activités élèves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21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Ressources – Matériels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Conclusion - Bilan</w:t>
            </w:r>
            <w:r/>
          </w:p>
        </w:tc>
      </w:tr>
    </w:tbl>
    <w:tbl>
      <w:tblPr>
        <w:tblW w:w="10773" w:type="dxa"/>
        <w:tblInd w:w="15" w:type="dxa"/>
        <w:tblLook w:val="0000" w:firstRow="0" w:lastRow="0" w:firstColumn="0" w:lastColumn="0" w:noHBand="0" w:noVBand="0"/>
      </w:tblPr>
      <w:tblGrid>
        <w:gridCol w:w="2409"/>
        <w:gridCol w:w="1701"/>
        <w:gridCol w:w="1702"/>
        <w:gridCol w:w="2125"/>
        <w:gridCol w:w="2836"/>
      </w:tblGrid>
      <w:tr>
        <w:trPr>
          <w:trHeight w:val="1511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09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Quelles sont les questions que doit se poser le technicien et qu’il doit poser au client avant l’intervention ?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701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World café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702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Lister les informations techniques que peut transmettre le client pour faciliter le diagnostique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2125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Salle de lancement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Ressources séquence 1 4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Contrat d’entretien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36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Importance de la prise de RDV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Utilité du contrat d’entretien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L’élève prend conscience que l’utilisateur est également détenteur d’informations pouvant faciliter l’intervention.</w:t>
            </w:r>
            <w:r/>
          </w:p>
        </w:tc>
      </w:tr>
      <w:tr>
        <w:trPr>
          <w:trHeight w:val="1511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09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Comment identifier les tâches à réaliser ?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701" w:type="dxa"/>
            <w:vAlign w:val="center"/>
            <w:textDirection w:val="lrTb"/>
            <w:noWrap w:val="false"/>
          </w:tcPr>
          <w:p>
            <w:pPr>
              <w:ind w:left="65"/>
              <w:rPr>
                <w:rFonts w:ascii="Calibri" w:hAnsi="Calibri" w:cs="Calibri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Méthode active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702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Proposer un mode opératoire assurant de répondre au contrat de maintenance et permettant d’optimiser le fonctionnement de l’installation.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Une fois validé par l’enseignant effectuer le mode opératoire sur le</w:t>
            </w: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(s)</w:t>
            </w: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 banc</w:t>
            </w: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(s)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2125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Salle de lancement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Ressources séquences 1 &amp; 5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Gamme de maintenance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Contrats de maintenance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Banc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36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L’élève identifie les équipements concernés par l’intervention de maintenance préventive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L’élève identifie le mode opératoire 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Les informations apportées par l’utilisateur sont prises en compte.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</w:r>
            <w:r/>
          </w:p>
        </w:tc>
      </w:tr>
      <w:tr>
        <w:trPr>
          <w:trHeight w:val="1511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09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Quels sont les indicateurs qui garantissent le bon fonctionnement de l’installation ?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701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World café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702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Identifier les valeurs garantissant le bon fonctionnement du système</w:t>
            </w:r>
            <w:r/>
          </w:p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Identifier la campagne de mesurage…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2125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Salle de lancement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Ressources séquence 3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Banc 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Connaissances apprenants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36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L’élève renforce l’analyse fonctionnelle et structurelle du système 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.</w:t>
            </w:r>
            <w:r/>
          </w:p>
        </w:tc>
      </w:tr>
      <w:tr>
        <w:trPr>
          <w:trHeight w:val="1511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09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Comment réaliser l’intervention ?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701" w:type="dxa"/>
            <w:vAlign w:val="center"/>
            <w:textDirection w:val="lrTb"/>
            <w:noWrap w:val="false"/>
          </w:tcPr>
          <w:p>
            <w:pPr>
              <w:ind w:left="79"/>
              <w:rPr>
                <w:rFonts w:ascii="Calibri" w:hAnsi="Calibri" w:cs="Calibri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Méthode expérientielle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702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Réaliser l’intervention en respectant le mode opératoire préalablement établi.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2125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Appareils de mesure </w:t>
            </w:r>
            <w:r/>
          </w:p>
          <w:p>
            <w:pPr>
              <w:ind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Equipements de protection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36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La défaillance est constatée. </w:t>
            </w:r>
            <w:r/>
          </w:p>
        </w:tc>
      </w:tr>
      <w:tr>
        <w:trPr>
          <w:trHeight w:val="1511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09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Quels documents sont à compléter après l’intervention ?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701" w:type="dxa"/>
            <w:vAlign w:val="center"/>
            <w:textDirection w:val="lrTb"/>
            <w:noWrap w:val="false"/>
          </w:tcPr>
          <w:p>
            <w:pPr>
              <w:ind w:left="79"/>
              <w:rPr>
                <w:rFonts w:ascii="Calibri" w:hAnsi="Calibri" w:cs="Calibri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Méthode active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702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Compléter la fiche d’intervention.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Compléter les documents numériques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2125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Fiche d’intervention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Documents numériques proposées par l’enseignant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36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Identifier les démarches administratives après une intervention</w:t>
            </w:r>
            <w:r/>
          </w:p>
        </w:tc>
      </w:tr>
      <w:tr>
        <w:trPr>
          <w:trHeight w:val="1151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12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09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Comment et à qui transmettre les opérations réalisées lors de l’intervention ?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12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701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Calibri" w:hAnsi="Calibri" w:cs="Calibri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Méthode expérientielle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12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702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Rédiger un rapport d’intervention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Restituer et transmettre un rapport d’intervention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12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2125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Internet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Suite bureautique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12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36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Identifier les faits.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Intégrer uniquement les éléments factuels dans le rapport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L’élève renforce l’analyse fonctionnelle et structurelle du système 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Les formules de civilités sont adaptées à la situation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La maîtrise de l’utilisation de l’outil de communication augmentée</w:t>
            </w:r>
            <w:r/>
          </w:p>
        </w:tc>
      </w:tr>
    </w:tbl>
    <w:p>
      <w:pPr>
        <w:rPr>
          <w:rFonts w:ascii="Calibri" w:hAnsi="Calibri" w:cs="Calibri"/>
        </w:rPr>
      </w:pPr>
      <w:r>
        <w:rPr>
          <w:rFonts w:ascii="Calibri" w:hAnsi="Calibri" w:cs="Calibri"/>
        </w:rPr>
      </w:r>
      <w:r/>
    </w:p>
    <w:sectPr>
      <w:footnotePr/>
      <w:type w:val="nextPage"/>
      <w:pgSz w:w="11906" w:h="16838" w:orient="portrait"/>
      <w:pgMar w:top="720" w:right="720" w:bottom="510" w:left="720" w:header="0" w:footer="0" w:gutter="0"/>
      <w:pgNumType w:start="1"/>
      <w:cols w:num="1" w:sep="0" w:space="720" w:equalWidth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OpenSymbol">
    <w:panose1 w:val="05010000000000000000"/>
  </w:font>
  <w:font w:name="ArialMT">
    <w:panose1 w:val="020B0604020202020204"/>
  </w:font>
  <w:font w:name="Georgia">
    <w:panose1 w:val="02040502050405020303"/>
  </w:font>
  <w:font w:name="Tahoma">
    <w:panose1 w:val="020B0604030504040204"/>
  </w:font>
  <w:font w:name="Nunito">
    <w:panose1 w:val="020B0500000000000000"/>
  </w:font>
  <w:font w:name="Arial">
    <w:panose1 w:val="020B0604020202020204"/>
  </w:font>
  <w:font w:name="Liberation Sans">
    <w:panose1 w:val="020B0704020202020204"/>
  </w:font>
  <w:font w:name="Times New Roman">
    <w:panose1 w:val="020206030504050203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1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2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3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4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5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6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7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8">
      <w:start w:val="1"/>
      <w:numFmt w:val="none"/>
      <w:isLgl w:val="false"/>
      <w:suff w:val="nothing"/>
      <w:lvlText w:val=""/>
      <w:lvlJc w:val="left"/>
      <w:pPr>
        <w:ind w:left="0" w:firstLine="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  <w:rPr>
        <w:rFonts w:ascii="OpenSymbol" w:hAnsi="OpenSymbol" w:cs="OpenSymbol" w:hint="default"/>
        <w:sz w:val="16"/>
        <w:u w:val="none"/>
      </w:rPr>
    </w:lvl>
    <w:lvl w:ilvl="1">
      <w:start w:val="1"/>
      <w:numFmt w:val="bullet"/>
      <w:isLgl w:val="false"/>
      <w:suff w:val="tab"/>
      <w:lvlText w:val="-"/>
      <w:lvlJc w:val="left"/>
      <w:pPr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isLgl w:val="false"/>
      <w:suff w:val="tab"/>
      <w:lvlText w:val="-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isLgl w:val="false"/>
      <w:suff w:val="tab"/>
      <w:lvlText w:val="-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isLgl w:val="false"/>
      <w:suff w:val="tab"/>
      <w:lvlText w:val="-"/>
      <w:lvlJc w:val="left"/>
      <w:pPr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isLgl w:val="false"/>
      <w:suff w:val="tab"/>
      <w:lvlText w:val="-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isLgl w:val="false"/>
      <w:suff w:val="tab"/>
      <w:lvlText w:val="-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isLgl w:val="false"/>
      <w:suff w:val="tab"/>
      <w:lvlText w:val="-"/>
      <w:lvlJc w:val="left"/>
      <w:pPr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isLgl w:val="false"/>
      <w:suff w:val="tab"/>
      <w:lvlText w:val="-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1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2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3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4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5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6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7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8">
      <w:start w:val="1"/>
      <w:numFmt w:val="none"/>
      <w:isLgl w:val="false"/>
      <w:suff w:val="nothing"/>
      <w:lvlText w:val=""/>
      <w:lvlJc w:val="left"/>
      <w:pPr>
        <w:ind w:left="0" w:firstLine="0"/>
      </w:pPr>
    </w:lvl>
  </w:abstractNum>
  <w:abstractNum w:abstractNumId="3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1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2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3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4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5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6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7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8">
      <w:start w:val="1"/>
      <w:numFmt w:val="none"/>
      <w:isLgl w:val="false"/>
      <w:suff w:val="nothing"/>
      <w:lvlText w:val=""/>
      <w:lvlJc w:val="left"/>
      <w:pPr>
        <w:ind w:left="0" w:firstLine="0"/>
      </w:pPr>
    </w:lvl>
  </w:abstractNum>
  <w:abstractNum w:abstractNumId="4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1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2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3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4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5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6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7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8">
      <w:start w:val="1"/>
      <w:numFmt w:val="none"/>
      <w:isLgl w:val="false"/>
      <w:suff w:val="nothing"/>
      <w:lvlText w:val=""/>
      <w:lvlJc w:val="left"/>
      <w:pPr>
        <w:ind w:left="0" w:firstLine="0"/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  <w:rPr>
        <w:rFonts w:ascii="OpenSymbol" w:hAnsi="OpenSymbol" w:cs="OpenSymbol" w:hint="default"/>
        <w:sz w:val="16"/>
        <w:u w:val="none"/>
      </w:rPr>
    </w:lvl>
    <w:lvl w:ilvl="1">
      <w:start w:val="1"/>
      <w:numFmt w:val="bullet"/>
      <w:isLgl w:val="false"/>
      <w:suff w:val="tab"/>
      <w:lvlText w:val="-"/>
      <w:lvlJc w:val="left"/>
      <w:pPr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isLgl w:val="false"/>
      <w:suff w:val="tab"/>
      <w:lvlText w:val="-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isLgl w:val="false"/>
      <w:suff w:val="tab"/>
      <w:lvlText w:val="-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isLgl w:val="false"/>
      <w:suff w:val="tab"/>
      <w:lvlText w:val="-"/>
      <w:lvlJc w:val="left"/>
      <w:pPr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isLgl w:val="false"/>
      <w:suff w:val="tab"/>
      <w:lvlText w:val="-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isLgl w:val="false"/>
      <w:suff w:val="tab"/>
      <w:lvlText w:val="-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isLgl w:val="false"/>
      <w:suff w:val="tab"/>
      <w:lvlText w:val="-"/>
      <w:lvlJc w:val="left"/>
      <w:pPr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isLgl w:val="false"/>
      <w:suff w:val="tab"/>
      <w:lvlText w:val="-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6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1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2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3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4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5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6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7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8">
      <w:start w:val="1"/>
      <w:numFmt w:val="none"/>
      <w:isLgl w:val="false"/>
      <w:suff w:val="nothing"/>
      <w:lvlText w:val=""/>
      <w:lvlJc w:val="left"/>
      <w:pPr>
        <w:ind w:left="0" w:firstLine="0"/>
      </w:pPr>
    </w:lvl>
  </w:abstractNum>
  <w:abstractNum w:abstractNumId="7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1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2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3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4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5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6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7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8">
      <w:start w:val="1"/>
      <w:numFmt w:val="none"/>
      <w:isLgl w:val="false"/>
      <w:suff w:val="nothing"/>
      <w:lvlText w:val=""/>
      <w:lvlJc w:val="left"/>
      <w:pPr>
        <w:ind w:left="0" w:firstLine="0"/>
      </w:p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  <w:rPr>
        <w:rFonts w:ascii="OpenSymbol" w:hAnsi="OpenSymbol" w:cs="OpenSymbol" w:hint="default"/>
        <w:sz w:val="16"/>
        <w:u w:val="none"/>
      </w:rPr>
    </w:lvl>
    <w:lvl w:ilvl="1">
      <w:start w:val="1"/>
      <w:numFmt w:val="bullet"/>
      <w:isLgl w:val="false"/>
      <w:suff w:val="tab"/>
      <w:lvlText w:val="-"/>
      <w:lvlJc w:val="left"/>
      <w:pPr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isLgl w:val="false"/>
      <w:suff w:val="tab"/>
      <w:lvlText w:val="-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isLgl w:val="false"/>
      <w:suff w:val="tab"/>
      <w:lvlText w:val="-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isLgl w:val="false"/>
      <w:suff w:val="tab"/>
      <w:lvlText w:val="-"/>
      <w:lvlJc w:val="left"/>
      <w:pPr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isLgl w:val="false"/>
      <w:suff w:val="tab"/>
      <w:lvlText w:val="-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isLgl w:val="false"/>
      <w:suff w:val="tab"/>
      <w:lvlText w:val="-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isLgl w:val="false"/>
      <w:suff w:val="tab"/>
      <w:lvlText w:val="-"/>
      <w:lvlJc w:val="left"/>
      <w:pPr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isLgl w:val="false"/>
      <w:suff w:val="tab"/>
      <w:lvlText w:val="-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0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1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2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3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4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5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6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7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8">
      <w:start w:val="1"/>
      <w:numFmt w:val="none"/>
      <w:isLgl w:val="false"/>
      <w:suff w:val="nothing"/>
      <w:lvlText w:val=""/>
      <w:lvlJc w:val="left"/>
      <w:pPr>
        <w:ind w:left="0" w:firstLine="0"/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  <w:rPr>
        <w:rFonts w:ascii="OpenSymbol" w:hAnsi="OpenSymbol" w:cs="OpenSymbol" w:hint="default"/>
        <w:sz w:val="16"/>
        <w:u w:val="none"/>
      </w:rPr>
    </w:lvl>
    <w:lvl w:ilvl="1">
      <w:start w:val="1"/>
      <w:numFmt w:val="bullet"/>
      <w:isLgl w:val="false"/>
      <w:suff w:val="tab"/>
      <w:lvlText w:val="-"/>
      <w:lvlJc w:val="left"/>
      <w:pPr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isLgl w:val="false"/>
      <w:suff w:val="tab"/>
      <w:lvlText w:val="-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isLgl w:val="false"/>
      <w:suff w:val="tab"/>
      <w:lvlText w:val="-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isLgl w:val="false"/>
      <w:suff w:val="tab"/>
      <w:lvlText w:val="-"/>
      <w:lvlJc w:val="left"/>
      <w:pPr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isLgl w:val="false"/>
      <w:suff w:val="tab"/>
      <w:lvlText w:val="-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isLgl w:val="false"/>
      <w:suff w:val="tab"/>
      <w:lvlText w:val="-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isLgl w:val="false"/>
      <w:suff w:val="tab"/>
      <w:lvlText w:val="-"/>
      <w:lvlJc w:val="left"/>
      <w:pPr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isLgl w:val="false"/>
      <w:suff w:val="tab"/>
      <w:lvlText w:val="-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2">
    <w:multiLevelType w:val="hybridMultilevel"/>
    <w:lvl w:ilvl="0">
      <w:start w:val="3"/>
      <w:numFmt w:val="bullet"/>
      <w:isLgl w:val="false"/>
      <w:suff w:val="tab"/>
      <w:lvlText w:val="-"/>
      <w:lvlJc w:val="left"/>
      <w:pPr>
        <w:ind w:left="452" w:hanging="348"/>
      </w:pPr>
      <w:rPr>
        <w:rFonts w:ascii="Times New Roman" w:hAnsi="Times New Roman" w:hint="default"/>
        <w:color w:val="auto"/>
        <w:sz w:val="20"/>
        <w:szCs w:val="22"/>
        <w:lang w:val="fr-FR" w:bidi="fr-FR" w:eastAsia="fr-FR"/>
      </w:rPr>
    </w:lvl>
    <w:lvl w:ilvl="1">
      <w:start w:val="1"/>
      <w:numFmt w:val="bullet"/>
      <w:isLgl w:val="false"/>
      <w:suff w:val="tab"/>
      <w:lvlText w:val="o"/>
      <w:lvlJc w:val="left"/>
      <w:pPr>
        <w:ind w:left="812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1532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252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2972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3692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4412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132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5852" w:hanging="360"/>
      </w:pPr>
      <w:rPr>
        <w:rFonts w:ascii="Wingdings" w:hAnsi="Wingdings" w:hint="default"/>
      </w:rPr>
    </w:lvl>
  </w:abstractNum>
  <w:abstractNum w:abstractNumId="13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1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2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3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4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5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6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7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8">
      <w:start w:val="1"/>
      <w:numFmt w:val="none"/>
      <w:isLgl w:val="fals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10"/>
  </w:num>
  <w:num w:numId="3">
    <w:abstractNumId w:val="7"/>
  </w:num>
  <w:num w:numId="4">
    <w:abstractNumId w:val="6"/>
  </w:num>
  <w:num w:numId="5">
    <w:abstractNumId w:val="12"/>
  </w:num>
  <w:num w:numId="6">
    <w:abstractNumId w:val="8"/>
  </w:num>
  <w:num w:numId="7">
    <w:abstractNumId w:val="5"/>
  </w:num>
  <w:num w:numId="8">
    <w:abstractNumId w:val="13"/>
  </w:num>
  <w:num w:numId="9">
    <w:abstractNumId w:val="11"/>
  </w:num>
  <w:num w:numId="10">
    <w:abstractNumId w:val="0"/>
  </w:num>
  <w:num w:numId="11">
    <w:abstractNumId w:val="3"/>
  </w:num>
  <w:num w:numId="12">
    <w:abstractNumId w:val="9"/>
  </w:num>
  <w:num w:numId="13">
    <w:abstractNumId w:val="4"/>
  </w:num>
  <w:num w:numId="14">
    <w:abstractNumId w:val="2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20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decimalSymbol w:val=","/>
  <w:listSeparator w:val=";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cs="Times New Roman" w:eastAsia="Times New Roman"/>
        <w:color w:val="00000A"/>
        <w:spacing w:val="0"/>
        <w:position w:val="0"/>
        <w:sz w:val="24"/>
        <w:szCs w:val="24"/>
        <w:lang w:val="fr-FR" w:bidi="ar-SA" w:eastAsia="fr-FR"/>
      </w:rPr>
    </w:rPrDefault>
    <w:pPrDefault>
      <w:pPr>
        <w:ind w:left="0" w:right="0" w:firstLine="0"/>
        <w:jc w:val="left"/>
        <w:spacing w:lineRule="auto" w:line="240" w:after="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2">
    <w:name w:val="Heading 1 Char"/>
    <w:basedOn w:val="434"/>
    <w:link w:val="425"/>
    <w:uiPriority w:val="9"/>
    <w:rPr>
      <w:rFonts w:ascii="Arial" w:hAnsi="Arial" w:cs="Arial" w:eastAsia="Arial"/>
      <w:sz w:val="40"/>
      <w:szCs w:val="40"/>
    </w:rPr>
  </w:style>
  <w:style w:type="character" w:styleId="14">
    <w:name w:val="Heading 2 Char"/>
    <w:basedOn w:val="434"/>
    <w:link w:val="426"/>
    <w:uiPriority w:val="9"/>
    <w:rPr>
      <w:rFonts w:ascii="Arial" w:hAnsi="Arial" w:cs="Arial" w:eastAsia="Arial"/>
      <w:sz w:val="34"/>
    </w:rPr>
  </w:style>
  <w:style w:type="character" w:styleId="16">
    <w:name w:val="Heading 3 Char"/>
    <w:basedOn w:val="434"/>
    <w:link w:val="427"/>
    <w:uiPriority w:val="9"/>
    <w:rPr>
      <w:rFonts w:ascii="Arial" w:hAnsi="Arial" w:cs="Arial" w:eastAsia="Arial"/>
      <w:sz w:val="30"/>
      <w:szCs w:val="30"/>
    </w:rPr>
  </w:style>
  <w:style w:type="character" w:styleId="18">
    <w:name w:val="Heading 4 Char"/>
    <w:basedOn w:val="434"/>
    <w:link w:val="428"/>
    <w:uiPriority w:val="9"/>
    <w:rPr>
      <w:rFonts w:ascii="Arial" w:hAnsi="Arial" w:cs="Arial" w:eastAsia="Arial"/>
      <w:b/>
      <w:bCs/>
      <w:sz w:val="26"/>
      <w:szCs w:val="26"/>
    </w:rPr>
  </w:style>
  <w:style w:type="character" w:styleId="20">
    <w:name w:val="Heading 5 Char"/>
    <w:basedOn w:val="434"/>
    <w:link w:val="429"/>
    <w:uiPriority w:val="9"/>
    <w:rPr>
      <w:rFonts w:ascii="Arial" w:hAnsi="Arial" w:cs="Arial" w:eastAsia="Arial"/>
      <w:b/>
      <w:bCs/>
      <w:sz w:val="24"/>
      <w:szCs w:val="24"/>
    </w:rPr>
  </w:style>
  <w:style w:type="character" w:styleId="22">
    <w:name w:val="Heading 6 Char"/>
    <w:basedOn w:val="434"/>
    <w:link w:val="430"/>
    <w:uiPriority w:val="9"/>
    <w:rPr>
      <w:rFonts w:ascii="Arial" w:hAnsi="Arial" w:cs="Arial" w:eastAsia="Arial"/>
      <w:b/>
      <w:bCs/>
      <w:sz w:val="22"/>
      <w:szCs w:val="22"/>
    </w:rPr>
  </w:style>
  <w:style w:type="character" w:styleId="24">
    <w:name w:val="Heading 7 Char"/>
    <w:basedOn w:val="434"/>
    <w:link w:val="431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26">
    <w:name w:val="Heading 8 Char"/>
    <w:basedOn w:val="434"/>
    <w:link w:val="432"/>
    <w:uiPriority w:val="9"/>
    <w:rPr>
      <w:rFonts w:ascii="Arial" w:hAnsi="Arial" w:cs="Arial" w:eastAsia="Arial"/>
      <w:i/>
      <w:iCs/>
      <w:sz w:val="22"/>
      <w:szCs w:val="22"/>
    </w:rPr>
  </w:style>
  <w:style w:type="character" w:styleId="28">
    <w:name w:val="Heading 9 Char"/>
    <w:basedOn w:val="434"/>
    <w:link w:val="433"/>
    <w:uiPriority w:val="9"/>
    <w:rPr>
      <w:rFonts w:ascii="Arial" w:hAnsi="Arial" w:cs="Arial" w:eastAsia="Arial"/>
      <w:i/>
      <w:iCs/>
      <w:sz w:val="21"/>
      <w:szCs w:val="21"/>
    </w:rPr>
  </w:style>
  <w:style w:type="character" w:styleId="45">
    <w:name w:val="Caption Char"/>
    <w:basedOn w:val="440"/>
    <w:link w:val="439"/>
    <w:uiPriority w:val="99"/>
  </w:style>
  <w:style w:type="character" w:styleId="174">
    <w:name w:val="Footnote Text Char"/>
    <w:link w:val="441"/>
    <w:uiPriority w:val="99"/>
    <w:rPr>
      <w:sz w:val="18"/>
    </w:rPr>
  </w:style>
  <w:style w:type="paragraph" w:styleId="424" w:default="1">
    <w:name w:val="Normal"/>
    <w:qFormat/>
  </w:style>
  <w:style w:type="paragraph" w:styleId="425">
    <w:name w:val="Heading 1"/>
    <w:basedOn w:val="424"/>
    <w:next w:val="424"/>
    <w:link w:val="584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paragraph" w:styleId="426">
    <w:name w:val="Heading 2"/>
    <w:basedOn w:val="424"/>
    <w:next w:val="424"/>
    <w:link w:val="451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paragraph" w:styleId="427">
    <w:name w:val="Heading 3"/>
    <w:basedOn w:val="424"/>
    <w:next w:val="424"/>
    <w:link w:val="452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paragraph" w:styleId="428">
    <w:name w:val="Heading 4"/>
    <w:basedOn w:val="424"/>
    <w:next w:val="424"/>
    <w:link w:val="453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paragraph" w:styleId="429">
    <w:name w:val="Heading 5"/>
    <w:basedOn w:val="424"/>
    <w:next w:val="424"/>
    <w:link w:val="454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after="200" w:before="320"/>
      <w:outlineLvl w:val="4"/>
    </w:pPr>
  </w:style>
  <w:style w:type="paragraph" w:styleId="430">
    <w:name w:val="Heading 6"/>
    <w:basedOn w:val="424"/>
    <w:next w:val="424"/>
    <w:link w:val="455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paragraph" w:styleId="431">
    <w:name w:val="Heading 7"/>
    <w:basedOn w:val="424"/>
    <w:next w:val="424"/>
    <w:link w:val="456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paragraph" w:styleId="432">
    <w:name w:val="Heading 8"/>
    <w:basedOn w:val="424"/>
    <w:next w:val="424"/>
    <w:link w:val="457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paragraph" w:styleId="433">
    <w:name w:val="Heading 9"/>
    <w:basedOn w:val="424"/>
    <w:next w:val="424"/>
    <w:link w:val="45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34" w:default="1">
    <w:name w:val="Default Paragraph Font"/>
    <w:uiPriority w:val="1"/>
    <w:semiHidden/>
    <w:unhideWhenUsed/>
  </w:style>
  <w:style w:type="table" w:styleId="43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36" w:default="1">
    <w:name w:val="No List"/>
    <w:uiPriority w:val="99"/>
    <w:semiHidden/>
    <w:unhideWhenUsed/>
  </w:style>
  <w:style w:type="character" w:styleId="437" w:customStyle="1">
    <w:name w:val="Subtitle Char"/>
    <w:basedOn w:val="434"/>
    <w:uiPriority w:val="11"/>
    <w:rPr>
      <w:sz w:val="24"/>
      <w:szCs w:val="24"/>
    </w:rPr>
  </w:style>
  <w:style w:type="paragraph" w:styleId="438">
    <w:name w:val="Header"/>
    <w:basedOn w:val="424"/>
    <w:uiPriority w:val="99"/>
    <w:unhideWhenUsed/>
    <w:pPr>
      <w:tabs>
        <w:tab w:val="center" w:pos="7143" w:leader="none"/>
        <w:tab w:val="right" w:pos="14287" w:leader="none"/>
      </w:tabs>
    </w:pPr>
  </w:style>
  <w:style w:type="paragraph" w:styleId="439">
    <w:name w:val="Footer"/>
    <w:basedOn w:val="424"/>
    <w:link w:val="465"/>
    <w:uiPriority w:val="99"/>
    <w:unhideWhenUsed/>
    <w:pPr>
      <w:tabs>
        <w:tab w:val="center" w:pos="7143" w:leader="none"/>
        <w:tab w:val="right" w:pos="14287" w:leader="none"/>
      </w:tabs>
    </w:pPr>
  </w:style>
  <w:style w:type="paragraph" w:styleId="440">
    <w:name w:val="Caption"/>
    <w:basedOn w:val="424"/>
    <w:next w:val="424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paragraph" w:styleId="441">
    <w:name w:val="footnote text"/>
    <w:basedOn w:val="424"/>
    <w:link w:val="573"/>
    <w:uiPriority w:val="99"/>
    <w:semiHidden/>
    <w:unhideWhenUsed/>
    <w:rPr>
      <w:sz w:val="18"/>
    </w:rPr>
    <w:pPr>
      <w:spacing w:after="40"/>
    </w:pPr>
  </w:style>
  <w:style w:type="paragraph" w:styleId="442">
    <w:name w:val="toc 1"/>
    <w:basedOn w:val="424"/>
    <w:next w:val="424"/>
    <w:uiPriority w:val="39"/>
    <w:unhideWhenUsed/>
    <w:pPr>
      <w:spacing w:after="57"/>
    </w:pPr>
  </w:style>
  <w:style w:type="paragraph" w:styleId="443">
    <w:name w:val="toc 2"/>
    <w:basedOn w:val="424"/>
    <w:next w:val="424"/>
    <w:uiPriority w:val="39"/>
    <w:unhideWhenUsed/>
    <w:pPr>
      <w:ind w:left="283"/>
      <w:spacing w:after="57"/>
    </w:pPr>
  </w:style>
  <w:style w:type="paragraph" w:styleId="444">
    <w:name w:val="toc 3"/>
    <w:basedOn w:val="424"/>
    <w:next w:val="424"/>
    <w:uiPriority w:val="39"/>
    <w:unhideWhenUsed/>
    <w:pPr>
      <w:ind w:left="567"/>
      <w:spacing w:after="57"/>
    </w:pPr>
  </w:style>
  <w:style w:type="paragraph" w:styleId="445">
    <w:name w:val="toc 4"/>
    <w:basedOn w:val="424"/>
    <w:next w:val="424"/>
    <w:uiPriority w:val="39"/>
    <w:unhideWhenUsed/>
    <w:pPr>
      <w:ind w:left="850"/>
      <w:spacing w:after="57"/>
    </w:pPr>
  </w:style>
  <w:style w:type="paragraph" w:styleId="446">
    <w:name w:val="toc 5"/>
    <w:basedOn w:val="424"/>
    <w:next w:val="424"/>
    <w:uiPriority w:val="39"/>
    <w:unhideWhenUsed/>
    <w:pPr>
      <w:ind w:left="1134"/>
      <w:spacing w:after="57"/>
    </w:pPr>
  </w:style>
  <w:style w:type="paragraph" w:styleId="447">
    <w:name w:val="toc 6"/>
    <w:basedOn w:val="424"/>
    <w:next w:val="424"/>
    <w:uiPriority w:val="39"/>
    <w:unhideWhenUsed/>
    <w:pPr>
      <w:ind w:left="1417"/>
      <w:spacing w:after="57"/>
    </w:pPr>
  </w:style>
  <w:style w:type="paragraph" w:styleId="448">
    <w:name w:val="toc 7"/>
    <w:basedOn w:val="424"/>
    <w:next w:val="424"/>
    <w:uiPriority w:val="39"/>
    <w:unhideWhenUsed/>
    <w:pPr>
      <w:ind w:left="1701"/>
      <w:spacing w:after="57"/>
    </w:pPr>
  </w:style>
  <w:style w:type="paragraph" w:styleId="449">
    <w:name w:val="toc 8"/>
    <w:basedOn w:val="424"/>
    <w:next w:val="424"/>
    <w:uiPriority w:val="39"/>
    <w:unhideWhenUsed/>
    <w:pPr>
      <w:ind w:left="1984"/>
      <w:spacing w:after="57"/>
    </w:pPr>
  </w:style>
  <w:style w:type="paragraph" w:styleId="450">
    <w:name w:val="toc 9"/>
    <w:basedOn w:val="424"/>
    <w:next w:val="424"/>
    <w:uiPriority w:val="39"/>
    <w:unhideWhenUsed/>
    <w:pPr>
      <w:ind w:left="2268"/>
      <w:spacing w:after="57"/>
    </w:pPr>
  </w:style>
  <w:style w:type="character" w:styleId="451" w:customStyle="1">
    <w:name w:val="Titre 2 Car1"/>
    <w:basedOn w:val="434"/>
    <w:link w:val="426"/>
    <w:uiPriority w:val="9"/>
    <w:rPr>
      <w:rFonts w:ascii="Arial" w:hAnsi="Arial" w:cs="Arial" w:eastAsia="Arial"/>
      <w:sz w:val="34"/>
    </w:rPr>
  </w:style>
  <w:style w:type="character" w:styleId="452" w:customStyle="1">
    <w:name w:val="Titre 3 Car1"/>
    <w:basedOn w:val="434"/>
    <w:link w:val="427"/>
    <w:uiPriority w:val="9"/>
    <w:rPr>
      <w:rFonts w:ascii="Arial" w:hAnsi="Arial" w:cs="Arial" w:eastAsia="Arial"/>
      <w:sz w:val="30"/>
      <w:szCs w:val="30"/>
    </w:rPr>
  </w:style>
  <w:style w:type="character" w:styleId="453" w:customStyle="1">
    <w:name w:val="Titre 4 Car1"/>
    <w:basedOn w:val="434"/>
    <w:link w:val="428"/>
    <w:uiPriority w:val="9"/>
    <w:rPr>
      <w:rFonts w:ascii="Arial" w:hAnsi="Arial" w:cs="Arial" w:eastAsia="Arial"/>
      <w:b/>
      <w:bCs/>
      <w:sz w:val="26"/>
      <w:szCs w:val="26"/>
    </w:rPr>
  </w:style>
  <w:style w:type="character" w:styleId="454" w:customStyle="1">
    <w:name w:val="Titre 5 Car1"/>
    <w:basedOn w:val="434"/>
    <w:link w:val="429"/>
    <w:uiPriority w:val="9"/>
    <w:rPr>
      <w:rFonts w:ascii="Arial" w:hAnsi="Arial" w:cs="Arial" w:eastAsia="Arial"/>
      <w:b/>
      <w:bCs/>
      <w:sz w:val="24"/>
      <w:szCs w:val="24"/>
    </w:rPr>
  </w:style>
  <w:style w:type="character" w:styleId="455" w:customStyle="1">
    <w:name w:val="Titre 6 Car1"/>
    <w:basedOn w:val="434"/>
    <w:link w:val="430"/>
    <w:uiPriority w:val="9"/>
    <w:rPr>
      <w:rFonts w:ascii="Arial" w:hAnsi="Arial" w:cs="Arial" w:eastAsia="Arial"/>
      <w:b/>
      <w:bCs/>
      <w:sz w:val="22"/>
      <w:szCs w:val="22"/>
    </w:rPr>
  </w:style>
  <w:style w:type="character" w:styleId="456" w:customStyle="1">
    <w:name w:val="Titre 7 Car1"/>
    <w:basedOn w:val="434"/>
    <w:link w:val="431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57" w:customStyle="1">
    <w:name w:val="Titre 8 Car1"/>
    <w:basedOn w:val="434"/>
    <w:link w:val="432"/>
    <w:uiPriority w:val="9"/>
    <w:rPr>
      <w:rFonts w:ascii="Arial" w:hAnsi="Arial" w:cs="Arial" w:eastAsia="Arial"/>
      <w:i/>
      <w:iCs/>
      <w:sz w:val="22"/>
      <w:szCs w:val="22"/>
    </w:rPr>
  </w:style>
  <w:style w:type="character" w:styleId="458" w:customStyle="1">
    <w:name w:val="Titre 9 Car1"/>
    <w:basedOn w:val="434"/>
    <w:link w:val="433"/>
    <w:uiPriority w:val="9"/>
    <w:rPr>
      <w:rFonts w:ascii="Arial" w:hAnsi="Arial" w:cs="Arial" w:eastAsia="Arial"/>
      <w:i/>
      <w:iCs/>
      <w:sz w:val="21"/>
      <w:szCs w:val="21"/>
    </w:rPr>
  </w:style>
  <w:style w:type="character" w:styleId="459" w:customStyle="1">
    <w:name w:val="Title Char"/>
    <w:basedOn w:val="434"/>
    <w:uiPriority w:val="10"/>
    <w:rPr>
      <w:sz w:val="48"/>
      <w:szCs w:val="48"/>
    </w:rPr>
  </w:style>
  <w:style w:type="character" w:styleId="460" w:customStyle="1">
    <w:name w:val="Sous-titre Car1"/>
    <w:basedOn w:val="434"/>
    <w:link w:val="628"/>
    <w:uiPriority w:val="11"/>
    <w:rPr>
      <w:sz w:val="24"/>
      <w:szCs w:val="24"/>
    </w:rPr>
  </w:style>
  <w:style w:type="character" w:styleId="461" w:customStyle="1">
    <w:name w:val="Quote Char"/>
    <w:uiPriority w:val="29"/>
    <w:rPr>
      <w:i/>
    </w:rPr>
  </w:style>
  <w:style w:type="character" w:styleId="462" w:customStyle="1">
    <w:name w:val="Intense Quote Char"/>
    <w:uiPriority w:val="30"/>
    <w:rPr>
      <w:i/>
    </w:rPr>
  </w:style>
  <w:style w:type="character" w:styleId="463" w:customStyle="1">
    <w:name w:val="Header Char"/>
    <w:basedOn w:val="434"/>
    <w:link w:val="615"/>
    <w:uiPriority w:val="99"/>
  </w:style>
  <w:style w:type="character" w:styleId="464" w:customStyle="1">
    <w:name w:val="Footer Char"/>
    <w:basedOn w:val="434"/>
    <w:uiPriority w:val="99"/>
  </w:style>
  <w:style w:type="character" w:styleId="465" w:customStyle="1">
    <w:name w:val="Pied de page Car1"/>
    <w:link w:val="439"/>
    <w:uiPriority w:val="99"/>
  </w:style>
  <w:style w:type="table" w:styleId="466" w:customStyle="1">
    <w:name w:val="Table Grid Light"/>
    <w:basedOn w:val="435"/>
    <w:uiPriority w:val="59"/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</w:style>
  <w:style w:type="table" w:styleId="467">
    <w:name w:val="Plain Table 1"/>
    <w:basedOn w:val="435"/>
    <w:uiPriority w:val="59"/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  <w:tblStylePr w:type="band1Horz"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68">
    <w:name w:val="Plain Table 2"/>
    <w:basedOn w:val="435"/>
    <w:uiPriority w:val="59"/>
    <w:tblPr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69">
    <w:name w:val="Plain Table 3"/>
    <w:basedOn w:val="435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70">
    <w:name w:val="Plain Table 4"/>
    <w:basedOn w:val="435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71">
    <w:name w:val="Plain Table 5"/>
    <w:basedOn w:val="435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72">
    <w:name w:val="Grid Table 1 Light"/>
    <w:basedOn w:val="435"/>
    <w:uiPriority w:val="99"/>
    <w:tblPr>
      <w:tblStyleRowBandSize w:val="1"/>
      <w:tblStyleColBandSize w:val="1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73" w:customStyle="1">
    <w:name w:val="Grid Table 1 Light - Accent 1"/>
    <w:basedOn w:val="435"/>
    <w:uiPriority w:val="99"/>
    <w:tblPr>
      <w:tblStyleRowBandSize w:val="1"/>
      <w:tblStyleColBandSize w:val="1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74" w:customStyle="1">
    <w:name w:val="Grid Table 1 Light - Accent 2"/>
    <w:basedOn w:val="435"/>
    <w:uiPriority w:val="99"/>
    <w:tblPr>
      <w:tblStyleRowBandSize w:val="1"/>
      <w:tblStyleColBandSize w:val="1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75" w:customStyle="1">
    <w:name w:val="Grid Table 1 Light - Accent 3"/>
    <w:basedOn w:val="435"/>
    <w:uiPriority w:val="99"/>
    <w:tblPr>
      <w:tblStyleRowBandSize w:val="1"/>
      <w:tblStyleColBandSize w:val="1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76" w:customStyle="1">
    <w:name w:val="Grid Table 1 Light - Accent 4"/>
    <w:basedOn w:val="435"/>
    <w:uiPriority w:val="99"/>
    <w:tblPr>
      <w:tblStyleRowBandSize w:val="1"/>
      <w:tblStyleColBandSize w:val="1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77" w:customStyle="1">
    <w:name w:val="Grid Table 1 Light - Accent 5"/>
    <w:basedOn w:val="435"/>
    <w:uiPriority w:val="99"/>
    <w:tblPr>
      <w:tblStyleRowBandSize w:val="1"/>
      <w:tblStyleColBandSize w:val="1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78" w:customStyle="1">
    <w:name w:val="Grid Table 1 Light - Accent 6"/>
    <w:basedOn w:val="435"/>
    <w:uiPriority w:val="99"/>
    <w:tblPr>
      <w:tblStyleRowBandSize w:val="1"/>
      <w:tblStyleColBandSize w:val="1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79">
    <w:name w:val="Grid Table 2"/>
    <w:basedOn w:val="435"/>
    <w:uiPriority w:val="99"/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80" w:customStyle="1">
    <w:name w:val="Grid Table 2 - Accent 1"/>
    <w:basedOn w:val="435"/>
    <w:uiPriority w:val="99"/>
    <w:tblPr>
      <w:tblStyleRowBandSize w:val="1"/>
      <w:tblStyleColBandSize w:val="1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D8AC2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5D8AC2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81" w:customStyle="1">
    <w:name w:val="Grid Table 2 - Accent 2"/>
    <w:basedOn w:val="435"/>
    <w:uiPriority w:val="99"/>
    <w:tblPr>
      <w:tblStyleRowBandSize w:val="1"/>
      <w:tblStyleColBandSize w:val="1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82" w:customStyle="1">
    <w:name w:val="Grid Table 2 - Accent 3"/>
    <w:basedOn w:val="435"/>
    <w:uiPriority w:val="99"/>
    <w:tblPr>
      <w:tblStyleRowBandSize w:val="1"/>
      <w:tblStyleColBandSize w:val="1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83" w:customStyle="1">
    <w:name w:val="Grid Table 2 - Accent 4"/>
    <w:basedOn w:val="435"/>
    <w:uiPriority w:val="99"/>
    <w:tblPr>
      <w:tblStyleRowBandSize w:val="1"/>
      <w:tblStyleColBandSize w:val="1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84" w:customStyle="1">
    <w:name w:val="Grid Table 2 - Accent 5"/>
    <w:basedOn w:val="435"/>
    <w:uiPriority w:val="99"/>
    <w:tblPr>
      <w:tblStyleRowBandSize w:val="1"/>
      <w:tblStyleColBandSize w:val="1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85" w:customStyle="1">
    <w:name w:val="Grid Table 2 - Accent 6"/>
    <w:basedOn w:val="435"/>
    <w:uiPriority w:val="99"/>
    <w:tblPr>
      <w:tblStyleRowBandSize w:val="1"/>
      <w:tblStyleColBandSize w:val="1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86">
    <w:name w:val="Grid Table 3"/>
    <w:basedOn w:val="435"/>
    <w:uiPriority w:val="99"/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87" w:customStyle="1">
    <w:name w:val="Grid Table 3 - Accent 1"/>
    <w:basedOn w:val="435"/>
    <w:uiPriority w:val="99"/>
    <w:tblPr>
      <w:tblStyleRowBandSize w:val="1"/>
      <w:tblStyleColBandSize w:val="1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88" w:customStyle="1">
    <w:name w:val="Grid Table 3 - Accent 2"/>
    <w:basedOn w:val="435"/>
    <w:uiPriority w:val="99"/>
    <w:tblPr>
      <w:tblStyleRowBandSize w:val="1"/>
      <w:tblStyleColBandSize w:val="1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89" w:customStyle="1">
    <w:name w:val="Grid Table 3 - Accent 3"/>
    <w:basedOn w:val="435"/>
    <w:uiPriority w:val="99"/>
    <w:tblPr>
      <w:tblStyleRowBandSize w:val="1"/>
      <w:tblStyleColBandSize w:val="1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90" w:customStyle="1">
    <w:name w:val="Grid Table 3 - Accent 4"/>
    <w:basedOn w:val="435"/>
    <w:uiPriority w:val="99"/>
    <w:tblPr>
      <w:tblStyleRowBandSize w:val="1"/>
      <w:tblStyleColBandSize w:val="1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91" w:customStyle="1">
    <w:name w:val="Grid Table 3 - Accent 5"/>
    <w:basedOn w:val="435"/>
    <w:uiPriority w:val="99"/>
    <w:tblPr>
      <w:tblStyleRowBandSize w:val="1"/>
      <w:tblStyleColBandSize w:val="1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92" w:customStyle="1">
    <w:name w:val="Grid Table 3 - Accent 6"/>
    <w:basedOn w:val="435"/>
    <w:uiPriority w:val="99"/>
    <w:tblPr>
      <w:tblStyleRowBandSize w:val="1"/>
      <w:tblStyleColBandSize w:val="1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93">
    <w:name w:val="Grid Table 4"/>
    <w:basedOn w:val="435"/>
    <w:uiPriority w:val="59"/>
    <w:tblPr>
      <w:tblStyleRowBandSize w:val="1"/>
      <w:tblStyleColBandSize w:val="1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494" w:customStyle="1">
    <w:name w:val="Grid Table 4 - Accent 1"/>
    <w:basedOn w:val="435"/>
    <w:uiPriority w:val="59"/>
    <w:tblPr>
      <w:tblStyleRowBandSize w:val="1"/>
      <w:tblStyleColBandSize w:val="1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V w:val="single" w:color="9BB7D9" w:sz="4" w:space="0" w:themeColor="accent1" w:themeTint="90"/>
        <w:insideH w:val="single" w:color="9BB7D9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D8AC2" w:themeFill="accent1" w:themeFillTint="EA"/>
        <w:tcBorders>
          <w:left w:val="single" w:color="5D8AC2" w:sz="4" w:space="0" w:themeColor="accent1" w:themeTint="EA"/>
          <w:top w:val="single" w:color="5D8AC2" w:sz="4" w:space="0" w:themeColor="accent1" w:themeTint="EA"/>
          <w:right w:val="single" w:color="5D8AC2" w:sz="4" w:space="0" w:themeColor="accent1" w:themeTint="EA"/>
          <w:bottom w:val="single" w:color="5D8AC2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sz="4" w:space="0" w:themeColor="accent1" w:themeTint="EA"/>
        </w:tcBorders>
      </w:tcPr>
    </w:tblStylePr>
  </w:style>
  <w:style w:type="table" w:styleId="495" w:customStyle="1">
    <w:name w:val="Grid Table 4 - Accent 2"/>
    <w:basedOn w:val="435"/>
    <w:uiPriority w:val="59"/>
    <w:tblPr>
      <w:tblStyleRowBandSize w:val="1"/>
      <w:tblStyleColBandSize w:val="1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V w:val="single" w:color="DB9B9A" w:sz="4" w:space="0" w:themeColor="accent2" w:themeTint="90"/>
        <w:insideH w:val="single" w:color="DB9B9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D99695" w:themeFill="accent2" w:themeFillTint="97"/>
        <w:tcBorders>
          <w:left w:val="single" w:color="D99695" w:sz="4" w:space="0" w:themeColor="accent2" w:themeTint="97"/>
          <w:top w:val="single" w:color="D99695" w:sz="4" w:space="0" w:themeColor="accent2" w:themeTint="97"/>
          <w:right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sz="4" w:space="0" w:themeColor="accent2" w:themeTint="97"/>
        </w:tcBorders>
      </w:tcPr>
    </w:tblStylePr>
  </w:style>
  <w:style w:type="table" w:styleId="496" w:customStyle="1">
    <w:name w:val="Grid Table 4 - Accent 3"/>
    <w:basedOn w:val="435"/>
    <w:uiPriority w:val="59"/>
    <w:tblPr>
      <w:tblStyleRowBandSize w:val="1"/>
      <w:tblStyleColBandSize w:val="1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V w:val="single" w:color="C6D8A1" w:sz="4" w:space="0" w:themeColor="accent3" w:themeTint="90"/>
        <w:insideH w:val="single" w:color="C6D8A1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9ABB59" w:themeFill="accent3" w:themeFillTint="FE"/>
        <w:tcBorders>
          <w:left w:val="single" w:color="9ABB59" w:sz="4" w:space="0" w:themeColor="accent3" w:themeTint="FE"/>
          <w:top w:val="single" w:color="9ABB59" w:sz="4" w:space="0" w:themeColor="accent3" w:themeTint="FE"/>
          <w:right w:val="single" w:color="9ABB59" w:sz="4" w:space="0" w:themeColor="accent3" w:themeTint="FE"/>
          <w:bottom w:val="single" w:color="9ABB59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sz="4" w:space="0" w:themeColor="accent3" w:themeTint="FE"/>
        </w:tcBorders>
      </w:tcPr>
    </w:tblStylePr>
  </w:style>
  <w:style w:type="table" w:styleId="497" w:customStyle="1">
    <w:name w:val="Grid Table 4 - Accent 4"/>
    <w:basedOn w:val="435"/>
    <w:uiPriority w:val="59"/>
    <w:tblPr>
      <w:tblStyleRowBandSize w:val="1"/>
      <w:tblStyleColBandSize w:val="1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V w:val="single" w:color="B7A7CA" w:sz="4" w:space="0" w:themeColor="accent4" w:themeTint="90"/>
        <w:insideH w:val="single" w:color="B7A7CA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B2A1C6" w:themeFill="accent4" w:themeFillTint="9A"/>
        <w:tcBorders>
          <w:left w:val="single" w:color="B2A1C6" w:sz="4" w:space="0" w:themeColor="accent4" w:themeTint="9A"/>
          <w:top w:val="single" w:color="B2A1C6" w:sz="4" w:space="0" w:themeColor="accent4" w:themeTint="9A"/>
          <w:right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sz="4" w:space="0" w:themeColor="accent4" w:themeTint="9A"/>
        </w:tcBorders>
      </w:tcPr>
    </w:tblStylePr>
  </w:style>
  <w:style w:type="table" w:styleId="498" w:customStyle="1">
    <w:name w:val="Grid Table 4 - Accent 5"/>
    <w:basedOn w:val="435"/>
    <w:uiPriority w:val="59"/>
    <w:tblPr>
      <w:tblStyleRowBandSize w:val="1"/>
      <w:tblStyleColBandSize w:val="1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BACC6" w:themeFill="accent5"/>
        <w:tcBorders>
          <w:left w:val="single" w:color="4BACC6" w:sz="4" w:space="0" w:themeColor="accent5"/>
          <w:top w:val="single" w:color="4BACC6" w:sz="4" w:space="0" w:themeColor="accent5"/>
          <w:right w:val="single" w:color="4BACC6" w:sz="4" w:space="0" w:themeColor="accent5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sz="4" w:space="0" w:themeColor="accent5"/>
        </w:tcBorders>
      </w:tcPr>
    </w:tblStylePr>
  </w:style>
  <w:style w:type="table" w:styleId="499" w:customStyle="1">
    <w:name w:val="Grid Table 4 - Accent 6"/>
    <w:basedOn w:val="435"/>
    <w:uiPriority w:val="59"/>
    <w:tblPr>
      <w:tblStyleRowBandSize w:val="1"/>
      <w:tblStyleColBandSize w:val="1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79646" w:themeFill="accent6"/>
        <w:tcBorders>
          <w:left w:val="single" w:color="F79646" w:sz="4" w:space="0" w:themeColor="accent6"/>
          <w:top w:val="single" w:color="F79646" w:sz="4" w:space="0" w:themeColor="accent6"/>
          <w:right w:val="single" w:color="F79646" w:sz="4" w:space="0" w:themeColor="accent6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sz="4" w:space="0" w:themeColor="accent6"/>
        </w:tcBorders>
      </w:tcPr>
    </w:tblStylePr>
  </w:style>
  <w:style w:type="table" w:styleId="500">
    <w:name w:val="Grid Table 5 Dark"/>
    <w:basedOn w:val="435"/>
    <w:uiPriority w:val="99"/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BFBFBF" w:themeFill="text1" w:themeFillTint="40"/>
    </w:tblPr>
    <w:tblStylePr w:type="band1Horz">
      <w:tcPr>
        <w:shd w:val="clear" w:color="auto" w:fill="8A8A8A" w:themeFill="text1" w:themeFillTint="75"/>
      </w:tcPr>
    </w:tblStylePr>
    <w:tblStylePr w:type="band1Vert">
      <w:tcPr>
        <w:shd w:val="clear" w:color="auto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top w:val="single" w:color="FFFFFF" w:sz="4" w:space="0" w:themeColor="light1"/>
        </w:tcBorders>
      </w:tcPr>
    </w:tblStylePr>
  </w:style>
  <w:style w:type="table" w:styleId="501" w:customStyle="1">
    <w:name w:val="Grid Table 5 Dark- Accent 1"/>
    <w:basedOn w:val="435"/>
    <w:uiPriority w:val="99"/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AE5F1" w:themeFill="accent1" w:themeFillTint="34"/>
    </w:tblPr>
    <w:tblStylePr w:type="band1Horz">
      <w:tcPr>
        <w:shd w:val="clear" w:color="auto" w:fill="AEC4E0" w:themeFill="accent1" w:themeFillTint="75"/>
      </w:tcPr>
    </w:tblStylePr>
    <w:tblStylePr w:type="band1Vert">
      <w:tcPr>
        <w:shd w:val="clear" w:color="auto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4F81BD" w:themeFill="accent1"/>
        <w:tcBorders>
          <w:top w:val="single" w:color="FFFFFF" w:sz="4" w:space="0" w:themeColor="light1"/>
        </w:tcBorders>
      </w:tcPr>
    </w:tblStylePr>
  </w:style>
  <w:style w:type="table" w:styleId="502" w:customStyle="1">
    <w:name w:val="Grid Table 5 Dark - Accent 2"/>
    <w:basedOn w:val="435"/>
    <w:uiPriority w:val="99"/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2DCDC" w:themeFill="accent2" w:themeFillTint="32"/>
    </w:tblPr>
    <w:tblStylePr w:type="band1Horz">
      <w:tcPr>
        <w:shd w:val="clear" w:color="auto" w:fill="E2AEAD" w:themeFill="accent2" w:themeFillTint="75"/>
      </w:tcPr>
    </w:tblStylePr>
    <w:tblStylePr w:type="band1Vert">
      <w:tcPr>
        <w:shd w:val="clear" w:color="auto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C0504D" w:themeFill="accent2"/>
        <w:tcBorders>
          <w:top w:val="single" w:color="FFFFFF" w:sz="4" w:space="0" w:themeColor="light1"/>
        </w:tcBorders>
      </w:tcPr>
    </w:tblStylePr>
  </w:style>
  <w:style w:type="table" w:styleId="503" w:customStyle="1">
    <w:name w:val="Grid Table 5 Dark - Accent 3"/>
    <w:basedOn w:val="435"/>
    <w:uiPriority w:val="99"/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AF1DC" w:themeFill="accent3" w:themeFillTint="34"/>
    </w:tblPr>
    <w:tblStylePr w:type="band1Horz">
      <w:tcPr>
        <w:shd w:val="clear" w:color="auto" w:fill="D0DFB2" w:themeFill="accent3" w:themeFillTint="75"/>
      </w:tcPr>
    </w:tblStylePr>
    <w:tblStylePr w:type="band1Vert">
      <w:tcPr>
        <w:shd w:val="clear" w:color="auto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9BBB59" w:themeFill="accent3"/>
        <w:tcBorders>
          <w:top w:val="single" w:color="FFFFFF" w:sz="4" w:space="0" w:themeColor="light1"/>
        </w:tcBorders>
      </w:tcPr>
    </w:tblStylePr>
  </w:style>
  <w:style w:type="table" w:styleId="504" w:customStyle="1">
    <w:name w:val="Grid Table 5 Dark- Accent 4"/>
    <w:basedOn w:val="435"/>
    <w:uiPriority w:val="99"/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5DFEC" w:themeFill="accent4" w:themeFillTint="34"/>
    </w:tblPr>
    <w:tblStylePr w:type="band1Horz">
      <w:tcPr>
        <w:shd w:val="clear" w:color="auto" w:fill="C4B7D4" w:themeFill="accent4" w:themeFillTint="75"/>
      </w:tcPr>
    </w:tblStylePr>
    <w:tblStylePr w:type="band1Vert">
      <w:tcPr>
        <w:shd w:val="clear" w:color="auto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8064A2" w:themeFill="accent4"/>
        <w:tcBorders>
          <w:top w:val="single" w:color="FFFFFF" w:sz="4" w:space="0" w:themeColor="light1"/>
        </w:tcBorders>
      </w:tcPr>
    </w:tblStylePr>
  </w:style>
  <w:style w:type="table" w:styleId="505" w:customStyle="1">
    <w:name w:val="Grid Table 5 Dark - Accent 5"/>
    <w:basedOn w:val="435"/>
    <w:uiPriority w:val="99"/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AEEF3" w:themeFill="accent5" w:themeFillTint="34"/>
    </w:tblPr>
    <w:tblStylePr w:type="band1Horz">
      <w:tcPr>
        <w:shd w:val="clear" w:color="auto" w:fill="ACD8E4" w:themeFill="accent5" w:themeFillTint="75"/>
      </w:tcPr>
    </w:tblStylePr>
    <w:tblStylePr w:type="band1Vert">
      <w:tcPr>
        <w:shd w:val="clear" w:color="auto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4BACC6" w:themeFill="accent5"/>
        <w:tcBorders>
          <w:top w:val="single" w:color="FFFFFF" w:sz="4" w:space="0" w:themeColor="light1"/>
        </w:tcBorders>
      </w:tcPr>
    </w:tblStylePr>
  </w:style>
  <w:style w:type="table" w:styleId="506" w:customStyle="1">
    <w:name w:val="Grid Table 5 Dark - Accent 6"/>
    <w:basedOn w:val="435"/>
    <w:uiPriority w:val="99"/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DE9D8" w:themeFill="accent6" w:themeFillTint="34"/>
    </w:tblPr>
    <w:tblStylePr w:type="band1Horz">
      <w:tcPr>
        <w:shd w:val="clear" w:color="auto" w:fill="FBCEAA" w:themeFill="accent6" w:themeFillTint="75"/>
      </w:tcPr>
    </w:tblStylePr>
    <w:tblStylePr w:type="band1Vert">
      <w:tcPr>
        <w:shd w:val="clear" w:color="auto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79646" w:themeFill="accent6"/>
        <w:tcBorders>
          <w:top w:val="single" w:color="FFFFFF" w:sz="4" w:space="0" w:themeColor="light1"/>
        </w:tcBorders>
      </w:tcPr>
    </w:tblStylePr>
  </w:style>
  <w:style w:type="table" w:styleId="507">
    <w:name w:val="Grid Table 6 Colorful"/>
    <w:basedOn w:val="435"/>
    <w:uiPriority w:val="99"/>
    <w:tblPr>
      <w:tblStyleRowBandSize w:val="1"/>
      <w:tblStyleColBandSize w:val="1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CBCBCB" w:themeFill="text1" w:themeFillTint="34"/>
      </w:tcPr>
    </w:tblStylePr>
    <w:tblStylePr w:type="band1Vert"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08" w:customStyle="1">
    <w:name w:val="Grid Table 6 Colorful - Accent 1"/>
    <w:basedOn w:val="435"/>
    <w:uiPriority w:val="99"/>
    <w:tblPr>
      <w:tblStyleRowBandSize w:val="1"/>
      <w:tblStyleColBandSize w:val="1"/>
      <w:tblBorders>
        <w:left w:val="single" w:color="A6BFDD" w:sz="4" w:space="0" w:themeColor="accent1" w:themeTint="80"/>
        <w:top w:val="single" w:color="A6BFDD" w:sz="4" w:space="0" w:themeColor="accent1" w:themeTint="80"/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auto" w:fill="DAE5F1" w:themeFill="accent1" w:themeFillTint="34"/>
      </w:tcPr>
    </w:tblStylePr>
    <w:tblStylePr w:type="band1Vert"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sz="12" w:space="0" w:themeColor="accent1" w:themeTint="8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509" w:customStyle="1">
    <w:name w:val="Grid Table 6 Colorful - Accent 2"/>
    <w:basedOn w:val="435"/>
    <w:uiPriority w:val="99"/>
    <w:tblPr>
      <w:tblStyleRowBandSize w:val="1"/>
      <w:tblStyleColBandSize w:val="1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auto" w:fill="F2DCDC" w:themeFill="accent2" w:themeFillTint="32"/>
      </w:tcPr>
    </w:tblStylePr>
    <w:tblStylePr w:type="band1Vert"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510" w:customStyle="1">
    <w:name w:val="Grid Table 6 Colorful - Accent 3"/>
    <w:basedOn w:val="435"/>
    <w:uiPriority w:val="99"/>
    <w:tblPr>
      <w:tblStyleRowBandSize w:val="1"/>
      <w:tblStyleColBandSize w:val="1"/>
      <w:tblBorders>
        <w:left w:val="single" w:color="9ABB59" w:sz="4" w:space="0" w:themeColor="accent3" w:themeTint="FE"/>
        <w:top w:val="single" w:color="9ABB59" w:sz="4" w:space="0" w:themeColor="accent3" w:themeTint="FE"/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auto" w:fill="EAF1DC" w:themeFill="accent3" w:themeFillTint="34"/>
      </w:tcPr>
    </w:tblStylePr>
    <w:tblStylePr w:type="band1Vert"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sz="12" w:space="0" w:themeColor="accent3" w:themeTint="FE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511" w:customStyle="1">
    <w:name w:val="Grid Table 6 Colorful - Accent 4"/>
    <w:basedOn w:val="435"/>
    <w:uiPriority w:val="99"/>
    <w:tblPr>
      <w:tblStyleRowBandSize w:val="1"/>
      <w:tblStyleColBandSize w:val="1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auto" w:fill="E5DFEC" w:themeFill="accent4" w:themeFillTint="34"/>
      </w:tcPr>
    </w:tblStylePr>
    <w:tblStylePr w:type="band1Vert"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512" w:customStyle="1">
    <w:name w:val="Grid Table 6 Colorful - Accent 5"/>
    <w:basedOn w:val="435"/>
    <w:uiPriority w:val="99"/>
    <w:tblPr>
      <w:tblStyleRowBandSize w:val="1"/>
      <w:tblStyleColBandSize w:val="1"/>
      <w:tblBorders>
        <w:left w:val="single" w:color="4BACC6" w:sz="4" w:space="0" w:themeColor="accent5"/>
        <w:top w:val="single" w:color="4BACC6" w:sz="4" w:space="0" w:themeColor="accent5"/>
        <w:right w:val="single" w:color="4BACC6" w:sz="4" w:space="0" w:themeColor="accent5"/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auto" w:fill="DAEEF3" w:themeFill="accent5" w:themeFillTint="34"/>
      </w:tcPr>
    </w:tblStylePr>
    <w:tblStylePr w:type="band1Vert"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sz="12" w:space="0" w:themeColor="accent5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13" w:customStyle="1">
    <w:name w:val="Grid Table 6 Colorful - Accent 6"/>
    <w:basedOn w:val="435"/>
    <w:uiPriority w:val="99"/>
    <w:tblPr>
      <w:tblStyleRowBandSize w:val="1"/>
      <w:tblStyleColBandSize w:val="1"/>
      <w:tblBorders>
        <w:left w:val="single" w:color="F79646" w:sz="4" w:space="0" w:themeColor="accent6"/>
        <w:top w:val="single" w:color="F79646" w:sz="4" w:space="0" w:themeColor="accent6"/>
        <w:right w:val="single" w:color="F79646" w:sz="4" w:space="0" w:themeColor="accent6"/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auto" w:fill="FDE9D8" w:themeFill="accent6" w:themeFillTint="34"/>
      </w:tcPr>
    </w:tblStylePr>
    <w:tblStylePr w:type="band1Vert"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sz="12" w:space="0" w:themeColor="accent6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14">
    <w:name w:val="Grid Table 7 Colorful"/>
    <w:basedOn w:val="435"/>
    <w:uiPriority w:val="99"/>
    <w:tblPr>
      <w:tblStyleRowBandSize w:val="1"/>
      <w:tblStyleColBandSize w:val="1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sz="0" w:space="0" w:color="auto"/>
          <w:top w:val="none" w:sz="0" w:space="0" w:color="auto"/>
          <w:right w:val="single" w:color="7F7F7F" w:sz="4" w:space="0" w:themeColor="text1" w:themeTint="80"/>
          <w:bottom w:val="none" w:sz="0" w:space="0" w:color="auto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sz="0" w:space="0" w:color="auto"/>
          <w:top w:val="single" w:color="7F7F7F" w:sz="4" w:space="0" w:themeColor="text1" w:themeTint="80"/>
          <w:right w:val="none" w:sz="0" w:space="0" w:color="auto"/>
          <w:bottom w:val="none" w:sz="0" w:space="0" w:color="auto"/>
        </w:tcBorders>
      </w:tcPr>
    </w:tblStylePr>
  </w:style>
  <w:style w:type="table" w:styleId="515" w:customStyle="1">
    <w:name w:val="Grid Table 7 Colorful - Accent 1"/>
    <w:basedOn w:val="435"/>
    <w:uiPriority w:val="99"/>
    <w:tblPr>
      <w:tblStyleRowBandSize w:val="1"/>
      <w:tblStyleColBandSize w:val="1"/>
      <w:tblBorders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auto" w:fill="DAE5F1" w:themeFill="accent1" w:themeFillTint="34"/>
      </w:tcPr>
    </w:tblStylePr>
    <w:tblStylePr w:type="band1Vert"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auto" w:fill="FFFFFF"/>
        <w:tcBorders>
          <w:left w:val="none" w:sz="0" w:space="0" w:color="auto"/>
          <w:top w:val="none" w:sz="0" w:space="0" w:color="auto"/>
          <w:right w:val="single" w:color="A6BFDD" w:sz="4" w:space="0" w:themeColor="accent1" w:themeTint="80"/>
          <w:bottom w:val="none" w:sz="0" w:space="0" w:color="auto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auto" w:fill="FFFFFF" w:themeFill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A6BFDD" w:sz="4" w:space="0" w:themeColor="accent1" w:themeTint="8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auto" w:fill="FFFFFF"/>
        <w:tcBorders>
          <w:left w:val="single" w:color="A6BFDD" w:sz="4" w:space="0" w:themeColor="accent1" w:themeTint="8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auto" w:fill="FFFFFF" w:themeFill="light1"/>
        <w:tcBorders>
          <w:left w:val="none" w:sz="0" w:space="0" w:color="auto"/>
          <w:top w:val="single" w:color="A6BFDD" w:sz="4" w:space="0" w:themeColor="accent1" w:themeTint="80"/>
          <w:right w:val="none" w:sz="0" w:space="0" w:color="auto"/>
          <w:bottom w:val="none" w:sz="0" w:space="0" w:color="auto"/>
        </w:tcBorders>
      </w:tcPr>
    </w:tblStylePr>
  </w:style>
  <w:style w:type="table" w:styleId="516" w:customStyle="1">
    <w:name w:val="Grid Table 7 Colorful - Accent 2"/>
    <w:basedOn w:val="435"/>
    <w:uiPriority w:val="99"/>
    <w:tblPr>
      <w:tblStyleRowBandSize w:val="1"/>
      <w:tblStyleColBandSize w:val="1"/>
      <w:tblBorders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auto" w:fill="F2DCDC" w:themeFill="accent2" w:themeFillTint="32"/>
      </w:tcPr>
    </w:tblStylePr>
    <w:tblStylePr w:type="band1Vert"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sz="0" w:space="0" w:color="auto"/>
          <w:top w:val="none" w:sz="0" w:space="0" w:color="auto"/>
          <w:right w:val="single" w:color="D99695" w:sz="4" w:space="0" w:themeColor="accent2" w:themeTint="97"/>
          <w:bottom w:val="none" w:sz="0" w:space="0" w:color="auto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auto" w:fill="FFFFFF" w:themeFill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auto" w:fill="FFFFFF"/>
        <w:tcBorders>
          <w:left w:val="single" w:color="D99695" w:sz="4" w:space="0" w:themeColor="accent2" w:themeTint="97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auto" w:fill="FFFFFF" w:themeFill="light1"/>
        <w:tcBorders>
          <w:left w:val="none" w:sz="0" w:space="0" w:color="auto"/>
          <w:top w:val="single" w:color="D99695" w:sz="4" w:space="0" w:themeColor="accent2" w:themeTint="97"/>
          <w:right w:val="none" w:sz="0" w:space="0" w:color="auto"/>
          <w:bottom w:val="none" w:sz="0" w:space="0" w:color="auto"/>
        </w:tcBorders>
      </w:tcPr>
    </w:tblStylePr>
  </w:style>
  <w:style w:type="table" w:styleId="517" w:customStyle="1">
    <w:name w:val="Grid Table 7 Colorful - Accent 3"/>
    <w:basedOn w:val="435"/>
    <w:uiPriority w:val="99"/>
    <w:tblPr>
      <w:tblStyleRowBandSize w:val="1"/>
      <w:tblStyleColBandSize w:val="1"/>
      <w:tblBorders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auto" w:fill="EAF1DC" w:themeFill="accent3" w:themeFillTint="34"/>
      </w:tcPr>
    </w:tblStylePr>
    <w:tblStylePr w:type="band1Vert"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auto" w:fill="FFFFFF"/>
        <w:tcBorders>
          <w:left w:val="none" w:sz="0" w:space="0" w:color="auto"/>
          <w:top w:val="none" w:sz="0" w:space="0" w:color="auto"/>
          <w:right w:val="single" w:color="9ABB59" w:sz="4" w:space="0" w:themeColor="accent3" w:themeTint="FE"/>
          <w:bottom w:val="none" w:sz="0" w:space="0" w:color="auto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auto" w:fill="FFFFFF" w:themeFill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9ABB59" w:sz="4" w:space="0" w:themeColor="accent3" w:themeTint="FE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auto" w:fill="FFFFFF"/>
        <w:tcBorders>
          <w:left w:val="single" w:color="9ABB59" w:sz="4" w:space="0" w:themeColor="accent3" w:themeTint="FE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auto" w:fill="FFFFFF" w:themeFill="light1"/>
        <w:tcBorders>
          <w:left w:val="none" w:sz="0" w:space="0" w:color="auto"/>
          <w:top w:val="single" w:color="9ABB59" w:sz="4" w:space="0" w:themeColor="accent3" w:themeTint="FE"/>
          <w:right w:val="none" w:sz="0" w:space="0" w:color="auto"/>
          <w:bottom w:val="none" w:sz="0" w:space="0" w:color="auto"/>
        </w:tcBorders>
      </w:tcPr>
    </w:tblStylePr>
  </w:style>
  <w:style w:type="table" w:styleId="518" w:customStyle="1">
    <w:name w:val="Grid Table 7 Colorful - Accent 4"/>
    <w:basedOn w:val="435"/>
    <w:uiPriority w:val="99"/>
    <w:tblPr>
      <w:tblStyleRowBandSize w:val="1"/>
      <w:tblStyleColBandSize w:val="1"/>
      <w:tblBorders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auto" w:fill="E5DFEC" w:themeFill="accent4" w:themeFillTint="34"/>
      </w:tcPr>
    </w:tblStylePr>
    <w:tblStylePr w:type="band1Vert"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sz="0" w:space="0" w:color="auto"/>
          <w:top w:val="none" w:sz="0" w:space="0" w:color="auto"/>
          <w:right w:val="single" w:color="B2A1C6" w:sz="4" w:space="0" w:themeColor="accent4" w:themeTint="9A"/>
          <w:bottom w:val="none" w:sz="0" w:space="0" w:color="auto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auto" w:fill="FFFFFF" w:themeFill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auto" w:fill="FFFFFF"/>
        <w:tcBorders>
          <w:left w:val="single" w:color="B2A1C6" w:sz="4" w:space="0" w:themeColor="accent4" w:themeTint="9A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auto" w:fill="FFFFFF" w:themeFill="light1"/>
        <w:tcBorders>
          <w:left w:val="none" w:sz="0" w:space="0" w:color="auto"/>
          <w:top w:val="single" w:color="B2A1C6" w:sz="4" w:space="0" w:themeColor="accent4" w:themeTint="9A"/>
          <w:right w:val="none" w:sz="0" w:space="0" w:color="auto"/>
          <w:bottom w:val="none" w:sz="0" w:space="0" w:color="auto"/>
        </w:tcBorders>
      </w:tcPr>
    </w:tblStylePr>
  </w:style>
  <w:style w:type="table" w:styleId="519" w:customStyle="1">
    <w:name w:val="Grid Table 7 Colorful - Accent 5"/>
    <w:basedOn w:val="435"/>
    <w:uiPriority w:val="99"/>
    <w:tblPr>
      <w:tblStyleRowBandSize w:val="1"/>
      <w:tblStyleColBandSize w:val="1"/>
      <w:tblBorders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auto" w:fill="DAEEF3" w:themeFill="accent5" w:themeFillTint="34"/>
      </w:tcPr>
    </w:tblStylePr>
    <w:tblStylePr w:type="band1Vert"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auto" w:fill="FFFFFF"/>
        <w:tcBorders>
          <w:left w:val="none" w:sz="0" w:space="0" w:color="auto"/>
          <w:top w:val="none" w:sz="0" w:space="0" w:color="auto"/>
          <w:right w:val="single" w:color="99D0DE" w:sz="4" w:space="0" w:themeColor="accent5" w:themeTint="90"/>
          <w:bottom w:val="none" w:sz="0" w:space="0" w:color="auto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auto" w:fill="FFFFFF" w:themeFill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auto" w:fill="FFFFFF"/>
        <w:tcBorders>
          <w:left w:val="single" w:color="99D0DE" w:sz="4" w:space="0" w:themeColor="accent5" w:themeTint="9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auto" w:fill="FFFFFF" w:themeFill="light1"/>
        <w:tcBorders>
          <w:left w:val="none" w:sz="0" w:space="0" w:color="auto"/>
          <w:top w:val="single" w:color="99D0DE" w:sz="4" w:space="0" w:themeColor="accent5" w:themeTint="90"/>
          <w:right w:val="none" w:sz="0" w:space="0" w:color="auto"/>
          <w:bottom w:val="none" w:sz="0" w:space="0" w:color="auto"/>
        </w:tcBorders>
      </w:tcPr>
    </w:tblStylePr>
  </w:style>
  <w:style w:type="table" w:styleId="520" w:customStyle="1">
    <w:name w:val="Grid Table 7 Colorful - Accent 6"/>
    <w:basedOn w:val="435"/>
    <w:uiPriority w:val="99"/>
    <w:tblPr>
      <w:tblStyleRowBandSize w:val="1"/>
      <w:tblStyleColBandSize w:val="1"/>
      <w:tblBorders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auto" w:fill="FDE9D8" w:themeFill="accent6" w:themeFillTint="34"/>
      </w:tcPr>
    </w:tblStylePr>
    <w:tblStylePr w:type="band1Vert"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auto" w:fill="FFFFFF"/>
        <w:tcBorders>
          <w:left w:val="none" w:sz="0" w:space="0" w:color="auto"/>
          <w:top w:val="none" w:sz="0" w:space="0" w:color="auto"/>
          <w:right w:val="single" w:color="FAC396" w:sz="4" w:space="0" w:themeColor="accent6" w:themeTint="90"/>
          <w:bottom w:val="none" w:sz="0" w:space="0" w:color="auto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auto" w:fill="FFFFFF" w:themeFill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auto" w:fill="FFFFFF"/>
        <w:tcBorders>
          <w:left w:val="single" w:color="FAC396" w:sz="4" w:space="0" w:themeColor="accent6" w:themeTint="9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auto" w:fill="FFFFFF" w:themeFill="light1"/>
        <w:tcBorders>
          <w:left w:val="none" w:sz="0" w:space="0" w:color="auto"/>
          <w:top w:val="single" w:color="FAC396" w:sz="4" w:space="0" w:themeColor="accent6" w:themeTint="90"/>
          <w:right w:val="none" w:sz="0" w:space="0" w:color="auto"/>
          <w:bottom w:val="none" w:sz="0" w:space="0" w:color="auto"/>
        </w:tcBorders>
      </w:tcPr>
    </w:tblStylePr>
  </w:style>
  <w:style w:type="table" w:styleId="521">
    <w:name w:val="List Table 1 Light"/>
    <w:basedOn w:val="435"/>
    <w:uiPriority w:val="99"/>
    <w:tblPr>
      <w:tblStyleRowBandSize w:val="1"/>
      <w:tblStyleColBandSize w:val="1"/>
    </w:tblPr>
    <w:tblStylePr w:type="band1Horz"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22" w:customStyle="1">
    <w:name w:val="List Table 1 Light - Accent 1"/>
    <w:basedOn w:val="435"/>
    <w:uiPriority w:val="99"/>
    <w:tblPr>
      <w:tblStyleRowBandSize w:val="1"/>
      <w:tblStyleColBandSize w:val="1"/>
    </w:tblPr>
    <w:tblStylePr w:type="band1Horz">
      <w:tcPr>
        <w:shd w:val="clear" w:color="auto" w:fill="D2DFEE" w:themeFill="accent1" w:themeFillTint="40"/>
      </w:tcPr>
    </w:tblStylePr>
    <w:tblStylePr w:type="band1Vert">
      <w:tcPr>
        <w:shd w:val="clear" w:color="auto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23" w:customStyle="1">
    <w:name w:val="List Table 1 Light - Accent 2"/>
    <w:basedOn w:val="435"/>
    <w:uiPriority w:val="99"/>
    <w:tblPr>
      <w:tblStyleRowBandSize w:val="1"/>
      <w:tblStyleColBandSize w:val="1"/>
    </w:tblPr>
    <w:tblStylePr w:type="band1Horz">
      <w:tcPr>
        <w:shd w:val="clear" w:color="auto" w:fill="EFD2D2" w:themeFill="accent2" w:themeFillTint="40"/>
      </w:tcPr>
    </w:tblStylePr>
    <w:tblStylePr w:type="band1Vert">
      <w:tcPr>
        <w:shd w:val="clear" w:color="auto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0504D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C0504D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24" w:customStyle="1">
    <w:name w:val="List Table 1 Light - Accent 3"/>
    <w:basedOn w:val="435"/>
    <w:uiPriority w:val="99"/>
    <w:tblPr>
      <w:tblStyleRowBandSize w:val="1"/>
      <w:tblStyleColBandSize w:val="1"/>
    </w:tblPr>
    <w:tblStylePr w:type="band1Horz">
      <w:tcPr>
        <w:shd w:val="clear" w:color="auto" w:fill="E5EED5" w:themeFill="accent3" w:themeFillTint="40"/>
      </w:tcPr>
    </w:tblStylePr>
    <w:tblStylePr w:type="band1Vert">
      <w:tcPr>
        <w:shd w:val="clear" w:color="auto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BBB59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9BBB59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25" w:customStyle="1">
    <w:name w:val="List Table 1 Light - Accent 4"/>
    <w:basedOn w:val="435"/>
    <w:uiPriority w:val="99"/>
    <w:tblPr>
      <w:tblStyleRowBandSize w:val="1"/>
      <w:tblStyleColBandSize w:val="1"/>
    </w:tblPr>
    <w:tblStylePr w:type="band1Horz">
      <w:tcPr>
        <w:shd w:val="clear" w:color="auto" w:fill="DFD8E7" w:themeFill="accent4" w:themeFillTint="40"/>
      </w:tcPr>
    </w:tblStylePr>
    <w:tblStylePr w:type="band1Vert">
      <w:tcPr>
        <w:shd w:val="clear" w:color="auto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064A2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8064A2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26" w:customStyle="1">
    <w:name w:val="List Table 1 Light - Accent 5"/>
    <w:basedOn w:val="435"/>
    <w:uiPriority w:val="99"/>
    <w:tblPr>
      <w:tblStyleRowBandSize w:val="1"/>
      <w:tblStyleColBandSize w:val="1"/>
    </w:tblPr>
    <w:tblStylePr w:type="band1Horz">
      <w:tcPr>
        <w:shd w:val="clear" w:color="auto" w:fill="D1EAF0" w:themeFill="accent5" w:themeFillTint="40"/>
      </w:tcPr>
    </w:tblStylePr>
    <w:tblStylePr w:type="band1Vert">
      <w:tcPr>
        <w:shd w:val="clear" w:color="auto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27" w:customStyle="1">
    <w:name w:val="List Table 1 Light - Accent 6"/>
    <w:basedOn w:val="435"/>
    <w:uiPriority w:val="99"/>
    <w:tblPr>
      <w:tblStyleRowBandSize w:val="1"/>
      <w:tblStyleColBandSize w:val="1"/>
    </w:tblPr>
    <w:tblStylePr w:type="band1Horz">
      <w:tcPr>
        <w:shd w:val="clear" w:color="auto" w:fill="FDE4D0" w:themeFill="accent6" w:themeFillTint="40"/>
      </w:tcPr>
    </w:tblStylePr>
    <w:tblStylePr w:type="band1Vert">
      <w:tcPr>
        <w:shd w:val="clear" w:color="auto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28">
    <w:name w:val="List Table 2"/>
    <w:basedOn w:val="435"/>
    <w:uiPriority w:val="99"/>
    <w:tblPr>
      <w:tblStyleRowBandSize w:val="1"/>
      <w:tblStyleColBandSize w:val="1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29" w:customStyle="1">
    <w:name w:val="List Table 2 - Accent 1"/>
    <w:basedOn w:val="435"/>
    <w:uiPriority w:val="99"/>
    <w:tblPr>
      <w:tblStyleRowBandSize w:val="1"/>
      <w:tblStyleColBandSize w:val="1"/>
      <w:tblBorders>
        <w:top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</w:style>
  <w:style w:type="table" w:styleId="530" w:customStyle="1">
    <w:name w:val="List Table 2 - Accent 2"/>
    <w:basedOn w:val="435"/>
    <w:uiPriority w:val="99"/>
    <w:tblPr>
      <w:tblStyleRowBandSize w:val="1"/>
      <w:tblStyleColBandSize w:val="1"/>
      <w:tblBorders>
        <w:top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</w:style>
  <w:style w:type="table" w:styleId="531" w:customStyle="1">
    <w:name w:val="List Table 2 - Accent 3"/>
    <w:basedOn w:val="435"/>
    <w:uiPriority w:val="99"/>
    <w:tblPr>
      <w:tblStyleRowBandSize w:val="1"/>
      <w:tblStyleColBandSize w:val="1"/>
      <w:tblBorders>
        <w:top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</w:style>
  <w:style w:type="table" w:styleId="532" w:customStyle="1">
    <w:name w:val="List Table 2 - Accent 4"/>
    <w:basedOn w:val="435"/>
    <w:uiPriority w:val="99"/>
    <w:tblPr>
      <w:tblStyleRowBandSize w:val="1"/>
      <w:tblStyleColBandSize w:val="1"/>
      <w:tblBorders>
        <w:top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</w:style>
  <w:style w:type="table" w:styleId="533" w:customStyle="1">
    <w:name w:val="List Table 2 - Accent 5"/>
    <w:basedOn w:val="435"/>
    <w:uiPriority w:val="99"/>
    <w:tblPr>
      <w:tblStyleRowBandSize w:val="1"/>
      <w:tblStyleColBandSize w:val="1"/>
      <w:tblBorders>
        <w:top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</w:style>
  <w:style w:type="table" w:styleId="534" w:customStyle="1">
    <w:name w:val="List Table 2 - Accent 6"/>
    <w:basedOn w:val="435"/>
    <w:uiPriority w:val="99"/>
    <w:tblPr>
      <w:tblStyleRowBandSize w:val="1"/>
      <w:tblStyleColBandSize w:val="1"/>
      <w:tblBorders>
        <w:top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</w:style>
  <w:style w:type="table" w:styleId="535">
    <w:name w:val="List Table 3"/>
    <w:basedOn w:val="435"/>
    <w:uiPriority w:val="99"/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6" w:customStyle="1">
    <w:name w:val="List Table 3 - Accent 1"/>
    <w:basedOn w:val="435"/>
    <w:uiPriority w:val="99"/>
    <w:tblPr>
      <w:tblStyleRowBandSize w:val="1"/>
      <w:tblStyleColBandSize w:val="1"/>
      <w:tblBorders>
        <w:left w:val="single" w:color="4F81BD" w:sz="4" w:space="0" w:themeColor="accent1"/>
        <w:top w:val="single" w:color="4F81BD" w:sz="4" w:space="0" w:themeColor="accent1"/>
        <w:right w:val="single" w:color="4F81BD" w:sz="4" w:space="0" w:themeColor="accent1"/>
        <w:bottom w:val="single" w:color="4F81BD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sz="4" w:space="0" w:themeColor="accent1"/>
          <w:bottom w:val="single" w:color="4F81BD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sz="4" w:space="0" w:themeColor="accent1"/>
          <w:right w:val="single" w:color="4F81BD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7" w:customStyle="1">
    <w:name w:val="List Table 3 - Accent 2"/>
    <w:basedOn w:val="435"/>
    <w:uiPriority w:val="99"/>
    <w:tblPr>
      <w:tblStyleRowBandSize w:val="1"/>
      <w:tblStyleColBandSize w:val="1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sz="4" w:space="0" w:themeColor="accent2" w:themeTint="97"/>
          <w:right w:val="single" w:color="D99695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8" w:customStyle="1">
    <w:name w:val="List Table 3 - Accent 3"/>
    <w:basedOn w:val="435"/>
    <w:uiPriority w:val="99"/>
    <w:tblPr>
      <w:tblStyleRowBandSize w:val="1"/>
      <w:tblStyleColBandSize w:val="1"/>
      <w:tblBorders>
        <w:left w:val="single" w:color="C3D69B" w:sz="4" w:space="0" w:themeColor="accent3" w:themeTint="98"/>
        <w:top w:val="single" w:color="C3D69B" w:sz="4" w:space="0" w:themeColor="accent3" w:themeTint="98"/>
        <w:right w:val="single" w:color="C3D69B" w:sz="4" w:space="0" w:themeColor="accent3" w:themeTint="98"/>
        <w:bottom w:val="single" w:color="C3D69B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sz="4" w:space="0" w:themeColor="accent3" w:themeTint="98"/>
          <w:bottom w:val="single" w:color="C3D69B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sz="4" w:space="0" w:themeColor="accent3" w:themeTint="98"/>
          <w:right w:val="single" w:color="C3D69B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9" w:customStyle="1">
    <w:name w:val="List Table 3 - Accent 4"/>
    <w:basedOn w:val="435"/>
    <w:uiPriority w:val="99"/>
    <w:tblPr>
      <w:tblStyleRowBandSize w:val="1"/>
      <w:tblStyleColBandSize w:val="1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sz="4" w:space="0" w:themeColor="accent4" w:themeTint="9A"/>
          <w:right w:val="single" w:color="B2A1C6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0" w:customStyle="1">
    <w:name w:val="List Table 3 - Accent 5"/>
    <w:basedOn w:val="435"/>
    <w:uiPriority w:val="99"/>
    <w:tblPr>
      <w:tblStyleRowBandSize w:val="1"/>
      <w:tblStyleColBandSize w:val="1"/>
      <w:tblBorders>
        <w:left w:val="single" w:color="92CCDC" w:sz="4" w:space="0" w:themeColor="accent5" w:themeTint="9A"/>
        <w:top w:val="single" w:color="92CCDC" w:sz="4" w:space="0" w:themeColor="accent5" w:themeTint="9A"/>
        <w:right w:val="single" w:color="92CCDC" w:sz="4" w:space="0" w:themeColor="accent5" w:themeTint="9A"/>
        <w:bottom w:val="single" w:color="92CCDC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sz="4" w:space="0" w:themeColor="accent5" w:themeTint="9A"/>
          <w:bottom w:val="single" w:color="92CCDC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sz="4" w:space="0" w:themeColor="accent5" w:themeTint="9A"/>
          <w:right w:val="single" w:color="92CCDC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1" w:customStyle="1">
    <w:name w:val="List Table 3 - Accent 6"/>
    <w:basedOn w:val="435"/>
    <w:uiPriority w:val="99"/>
    <w:tblPr>
      <w:tblStyleRowBandSize w:val="1"/>
      <w:tblStyleColBandSize w:val="1"/>
      <w:tblBorders>
        <w:left w:val="single" w:color="FAC090" w:sz="4" w:space="0" w:themeColor="accent6" w:themeTint="98"/>
        <w:top w:val="single" w:color="FAC090" w:sz="4" w:space="0" w:themeColor="accent6" w:themeTint="98"/>
        <w:right w:val="single" w:color="FAC090" w:sz="4" w:space="0" w:themeColor="accent6" w:themeTint="98"/>
        <w:bottom w:val="single" w:color="FAC09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sz="4" w:space="0" w:themeColor="accent6" w:themeTint="98"/>
          <w:bottom w:val="single" w:color="FAC09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sz="4" w:space="0" w:themeColor="accent6" w:themeTint="98"/>
          <w:right w:val="single" w:color="FAC09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2">
    <w:name w:val="List Table 4"/>
    <w:basedOn w:val="435"/>
    <w:uiPriority w:val="99"/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3" w:customStyle="1">
    <w:name w:val="List Table 4 - Accent 1"/>
    <w:basedOn w:val="435"/>
    <w:uiPriority w:val="99"/>
    <w:tblPr>
      <w:tblStyleRowBandSize w:val="1"/>
      <w:tblStyleColBandSize w:val="1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4" w:customStyle="1">
    <w:name w:val="List Table 4 - Accent 2"/>
    <w:basedOn w:val="435"/>
    <w:uiPriority w:val="99"/>
    <w:tblPr>
      <w:tblStyleRowBandSize w:val="1"/>
      <w:tblStyleColBandSize w:val="1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5" w:customStyle="1">
    <w:name w:val="List Table 4 - Accent 3"/>
    <w:basedOn w:val="435"/>
    <w:uiPriority w:val="99"/>
    <w:tblPr>
      <w:tblStyleRowBandSize w:val="1"/>
      <w:tblStyleColBandSize w:val="1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6" w:customStyle="1">
    <w:name w:val="List Table 4 - Accent 4"/>
    <w:basedOn w:val="435"/>
    <w:uiPriority w:val="99"/>
    <w:tblPr>
      <w:tblStyleRowBandSize w:val="1"/>
      <w:tblStyleColBandSize w:val="1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7" w:customStyle="1">
    <w:name w:val="List Table 4 - Accent 5"/>
    <w:basedOn w:val="435"/>
    <w:uiPriority w:val="99"/>
    <w:tblPr>
      <w:tblStyleRowBandSize w:val="1"/>
      <w:tblStyleColBandSize w:val="1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8" w:customStyle="1">
    <w:name w:val="List Table 4 - Accent 6"/>
    <w:basedOn w:val="435"/>
    <w:uiPriority w:val="99"/>
    <w:tblPr>
      <w:tblStyleRowBandSize w:val="1"/>
      <w:tblStyleColBandSize w:val="1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9">
    <w:name w:val="List Table 5 Dark"/>
    <w:basedOn w:val="435"/>
    <w:uiPriority w:val="99"/>
    <w:tblPr>
      <w:tblStyleRowBandSize w:val="1"/>
      <w:tblStyleColBandSize w:val="1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color="auto" w:fill="7F7F7F" w:themeFill="text1" w:themeFillTint="80"/>
    </w:tblPr>
    <w:tblStylePr w:type="band1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50" w:customStyle="1">
    <w:name w:val="List Table 5 Dark - Accent 1"/>
    <w:basedOn w:val="435"/>
    <w:uiPriority w:val="99"/>
    <w:tblPr>
      <w:tblStyleRowBandSize w:val="1"/>
      <w:tblStyleColBandSize w:val="1"/>
      <w:tblBorders>
        <w:left w:val="single" w:color="4F81BD" w:sz="32" w:space="0" w:themeColor="accent1"/>
        <w:top w:val="single" w:color="4F81BD" w:sz="32" w:space="0" w:themeColor="accent1"/>
        <w:right w:val="single" w:color="4F81BD" w:sz="32" w:space="0" w:themeColor="accent1"/>
        <w:bottom w:val="single" w:color="4F81BD" w:sz="32" w:space="0" w:themeColor="accent1"/>
      </w:tblBorders>
      <w:shd w:val="clear" w:color="auto" w:fill="4F81BD" w:themeFill="accent1"/>
    </w:tblPr>
    <w:tblStylePr w:type="band1Horz">
      <w:tcPr>
        <w:shd w:val="clear" w:color="auto" w:fill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4F81BD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4F81BD" w:themeFill="accent1"/>
        <w:tcBorders>
          <w:top w:val="single" w:color="4F81BD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4F81BD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51" w:customStyle="1">
    <w:name w:val="List Table 5 Dark - Accent 2"/>
    <w:basedOn w:val="435"/>
    <w:uiPriority w:val="99"/>
    <w:tblPr>
      <w:tblStyleRowBandSize w:val="1"/>
      <w:tblStyleColBandSize w:val="1"/>
      <w:tblBorders>
        <w:left w:val="single" w:color="D99695" w:sz="32" w:space="0" w:themeColor="accent2" w:themeTint="97"/>
        <w:top w:val="single" w:color="D99695" w:sz="32" w:space="0" w:themeColor="accent2" w:themeTint="97"/>
        <w:right w:val="single" w:color="D99695" w:sz="32" w:space="0" w:themeColor="accent2" w:themeTint="97"/>
        <w:bottom w:val="single" w:color="D99695" w:sz="32" w:space="0" w:themeColor="accent2" w:themeTint="97"/>
      </w:tblBorders>
      <w:shd w:val="clear" w:color="auto" w:fill="D99695" w:themeFill="accent2" w:themeFillTint="97"/>
    </w:tblPr>
    <w:tblStylePr w:type="band1Horz">
      <w:tcPr>
        <w:shd w:val="clear" w:color="auto" w:fill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D99695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D99695" w:themeFill="accent2" w:themeFillTint="97"/>
        <w:tcBorders>
          <w:top w:val="single" w:color="D99695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D99695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52" w:customStyle="1">
    <w:name w:val="List Table 5 Dark - Accent 3"/>
    <w:basedOn w:val="435"/>
    <w:uiPriority w:val="99"/>
    <w:tblPr>
      <w:tblStyleRowBandSize w:val="1"/>
      <w:tblStyleColBandSize w:val="1"/>
      <w:tblBorders>
        <w:left w:val="single" w:color="C3D69B" w:sz="32" w:space="0" w:themeColor="accent3" w:themeTint="98"/>
        <w:top w:val="single" w:color="C3D69B" w:sz="32" w:space="0" w:themeColor="accent3" w:themeTint="98"/>
        <w:right w:val="single" w:color="C3D69B" w:sz="32" w:space="0" w:themeColor="accent3" w:themeTint="98"/>
        <w:bottom w:val="single" w:color="C3D69B" w:sz="32" w:space="0" w:themeColor="accent3" w:themeTint="98"/>
      </w:tblBorders>
      <w:shd w:val="clear" w:color="auto" w:fill="C3D69B" w:themeFill="accent3" w:themeFillTint="98"/>
    </w:tblPr>
    <w:tblStylePr w:type="band1Horz">
      <w:tcPr>
        <w:shd w:val="clear" w:color="auto" w:fill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C3D69B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C3D69B" w:themeFill="accent3" w:themeFillTint="98"/>
        <w:tcBorders>
          <w:top w:val="single" w:color="C3D69B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3D69B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53" w:customStyle="1">
    <w:name w:val="List Table 5 Dark - Accent 4"/>
    <w:basedOn w:val="435"/>
    <w:uiPriority w:val="99"/>
    <w:tblPr>
      <w:tblStyleRowBandSize w:val="1"/>
      <w:tblStyleColBandSize w:val="1"/>
      <w:tblBorders>
        <w:left w:val="single" w:color="B2A1C6" w:sz="32" w:space="0" w:themeColor="accent4" w:themeTint="9A"/>
        <w:top w:val="single" w:color="B2A1C6" w:sz="32" w:space="0" w:themeColor="accent4" w:themeTint="9A"/>
        <w:right w:val="single" w:color="B2A1C6" w:sz="32" w:space="0" w:themeColor="accent4" w:themeTint="9A"/>
        <w:bottom w:val="single" w:color="B2A1C6" w:sz="32" w:space="0" w:themeColor="accent4" w:themeTint="9A"/>
      </w:tblBorders>
      <w:shd w:val="clear" w:color="auto" w:fill="B2A1C6" w:themeFill="accent4" w:themeFillTint="9A"/>
    </w:tblPr>
    <w:tblStylePr w:type="band1Horz">
      <w:tcPr>
        <w:shd w:val="clear" w:color="auto" w:fill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B2A1C6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B2A1C6" w:themeFill="accent4" w:themeFillTint="9A"/>
        <w:tcBorders>
          <w:top w:val="single" w:color="B2A1C6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B2A1C6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54" w:customStyle="1">
    <w:name w:val="List Table 5 Dark - Accent 5"/>
    <w:basedOn w:val="435"/>
    <w:uiPriority w:val="99"/>
    <w:tblPr>
      <w:tblStyleRowBandSize w:val="1"/>
      <w:tblStyleColBandSize w:val="1"/>
      <w:tblBorders>
        <w:left w:val="single" w:color="92CCDC" w:sz="32" w:space="0" w:themeColor="accent5" w:themeTint="9A"/>
        <w:top w:val="single" w:color="92CCDC" w:sz="32" w:space="0" w:themeColor="accent5" w:themeTint="9A"/>
        <w:right w:val="single" w:color="92CCDC" w:sz="32" w:space="0" w:themeColor="accent5" w:themeTint="9A"/>
        <w:bottom w:val="single" w:color="92CCDC" w:sz="32" w:space="0" w:themeColor="accent5" w:themeTint="9A"/>
      </w:tblBorders>
      <w:shd w:val="clear" w:color="auto" w:fill="92CCDC" w:themeFill="accent5" w:themeFillTint="9A"/>
    </w:tblPr>
    <w:tblStylePr w:type="band1Horz">
      <w:tcPr>
        <w:shd w:val="clear" w:color="auto" w:fill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92CCDC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92CCDC" w:themeFill="accent5" w:themeFillTint="9A"/>
        <w:tcBorders>
          <w:top w:val="single" w:color="92CCDC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92CCDC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55" w:customStyle="1">
    <w:name w:val="List Table 5 Dark - Accent 6"/>
    <w:basedOn w:val="435"/>
    <w:uiPriority w:val="99"/>
    <w:tblPr>
      <w:tblStyleRowBandSize w:val="1"/>
      <w:tblStyleColBandSize w:val="1"/>
      <w:tblBorders>
        <w:left w:val="single" w:color="FAC090" w:sz="32" w:space="0" w:themeColor="accent6" w:themeTint="98"/>
        <w:top w:val="single" w:color="FAC090" w:sz="32" w:space="0" w:themeColor="accent6" w:themeTint="98"/>
        <w:right w:val="single" w:color="FAC090" w:sz="32" w:space="0" w:themeColor="accent6" w:themeTint="98"/>
        <w:bottom w:val="single" w:color="FAC090" w:sz="32" w:space="0" w:themeColor="accent6" w:themeTint="98"/>
      </w:tblBorders>
      <w:shd w:val="clear" w:color="auto" w:fill="FAC090" w:themeFill="accent6" w:themeFillTint="98"/>
    </w:tblPr>
    <w:tblStylePr w:type="band1Horz">
      <w:tcPr>
        <w:shd w:val="clear" w:color="auto" w:fill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AC090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AC090" w:themeFill="accent6" w:themeFillTint="98"/>
        <w:tcBorders>
          <w:top w:val="single" w:color="FAC090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AC09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56">
    <w:name w:val="List Table 6 Colorful"/>
    <w:basedOn w:val="435"/>
    <w:uiPriority w:val="99"/>
    <w:tblPr>
      <w:tblStyleRowBandSize w:val="1"/>
      <w:tblStyleColBandSize w:val="1"/>
      <w:tblBorders>
        <w:top w:val="single" w:color="7F7F7F" w:sz="4" w:space="0" w:themeColor="text1" w:themeTint="80"/>
        <w:bottom w:val="single" w:color="7F7F7F" w:sz="4" w:space="0" w:themeColor="text1" w:themeTint="8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557" w:customStyle="1">
    <w:name w:val="List Table 6 Colorful - Accent 1"/>
    <w:basedOn w:val="435"/>
    <w:uiPriority w:val="99"/>
    <w:tblPr>
      <w:tblStyleRowBandSize w:val="1"/>
      <w:tblStyleColBandSize w:val="1"/>
      <w:tblBorders>
        <w:top w:val="single" w:color="4F81BD" w:sz="4" w:space="0" w:themeColor="accent1"/>
        <w:bottom w:val="single" w:color="4F81BD" w:sz="4" w:space="0" w:themeColor="accent1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auto" w:fill="D2DFEE" w:themeFill="accent1" w:themeFillTint="40"/>
      </w:tcPr>
    </w:tblStylePr>
    <w:tblStylePr w:type="band1Vert"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sz="4" w:space="0" w:themeColor="accent1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sz="4" w:space="0" w:themeColor="accent1"/>
        </w:tcBorders>
      </w:tcPr>
    </w:tblStylePr>
  </w:style>
  <w:style w:type="table" w:styleId="558" w:customStyle="1">
    <w:name w:val="List Table 6 Colorful - Accent 2"/>
    <w:basedOn w:val="435"/>
    <w:uiPriority w:val="99"/>
    <w:tblPr>
      <w:tblStyleRowBandSize w:val="1"/>
      <w:tblStyleColBandSize w:val="1"/>
      <w:tblBorders>
        <w:top w:val="single" w:color="D99695" w:sz="4" w:space="0" w:themeColor="accent2" w:themeTint="97"/>
        <w:bottom w:val="single" w:color="D99695" w:sz="4" w:space="0" w:themeColor="accent2" w:themeTint="97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auto" w:fill="EFD2D2" w:themeFill="accent2" w:themeFillTint="40"/>
      </w:tcPr>
    </w:tblStylePr>
    <w:tblStylePr w:type="band1Vert"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4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sz="4" w:space="0" w:themeColor="accent2" w:themeTint="97"/>
        </w:tcBorders>
      </w:tcPr>
    </w:tblStylePr>
  </w:style>
  <w:style w:type="table" w:styleId="559" w:customStyle="1">
    <w:name w:val="List Table 6 Colorful - Accent 3"/>
    <w:basedOn w:val="435"/>
    <w:uiPriority w:val="99"/>
    <w:tblPr>
      <w:tblStyleRowBandSize w:val="1"/>
      <w:tblStyleColBandSize w:val="1"/>
      <w:tblBorders>
        <w:top w:val="single" w:color="C3D69B" w:sz="4" w:space="0" w:themeColor="accent3" w:themeTint="98"/>
        <w:bottom w:val="single" w:color="C3D69B" w:sz="4" w:space="0" w:themeColor="accent3" w:themeTint="98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auto" w:fill="E5EED5" w:themeFill="accent3" w:themeFillTint="40"/>
      </w:tcPr>
    </w:tblStylePr>
    <w:tblStylePr w:type="band1Vert"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sz="4" w:space="0" w:themeColor="accent3" w:themeTint="98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sz="4" w:space="0" w:themeColor="accent3" w:themeTint="98"/>
        </w:tcBorders>
      </w:tcPr>
    </w:tblStylePr>
  </w:style>
  <w:style w:type="table" w:styleId="560" w:customStyle="1">
    <w:name w:val="List Table 6 Colorful - Accent 4"/>
    <w:basedOn w:val="435"/>
    <w:uiPriority w:val="99"/>
    <w:tblPr>
      <w:tblStyleRowBandSize w:val="1"/>
      <w:tblStyleColBandSize w:val="1"/>
      <w:tblBorders>
        <w:top w:val="single" w:color="B2A1C6" w:sz="4" w:space="0" w:themeColor="accent4" w:themeTint="9A"/>
        <w:bottom w:val="single" w:color="B2A1C6" w:sz="4" w:space="0" w:themeColor="accent4" w:themeTint="9A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auto" w:fill="DFD8E7" w:themeFill="accent4" w:themeFillTint="40"/>
      </w:tcPr>
    </w:tblStylePr>
    <w:tblStylePr w:type="band1Vert"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4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sz="4" w:space="0" w:themeColor="accent4" w:themeTint="9A"/>
        </w:tcBorders>
      </w:tcPr>
    </w:tblStylePr>
  </w:style>
  <w:style w:type="table" w:styleId="561" w:customStyle="1">
    <w:name w:val="List Table 6 Colorful - Accent 5"/>
    <w:basedOn w:val="435"/>
    <w:uiPriority w:val="99"/>
    <w:tblPr>
      <w:tblStyleRowBandSize w:val="1"/>
      <w:tblStyleColBandSize w:val="1"/>
      <w:tblBorders>
        <w:top w:val="single" w:color="92CCDC" w:sz="4" w:space="0" w:themeColor="accent5" w:themeTint="9A"/>
        <w:bottom w:val="single" w:color="92CCDC" w:sz="4" w:space="0" w:themeColor="accent5" w:themeTint="9A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auto" w:fill="D1EAF0" w:themeFill="accent5" w:themeFillTint="40"/>
      </w:tcPr>
    </w:tblStylePr>
    <w:tblStylePr w:type="band1Vert"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sz="4" w:space="0" w:themeColor="accent5" w:themeTint="9A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sz="4" w:space="0" w:themeColor="accent5" w:themeTint="9A"/>
        </w:tcBorders>
      </w:tcPr>
    </w:tblStylePr>
  </w:style>
  <w:style w:type="table" w:styleId="562" w:customStyle="1">
    <w:name w:val="List Table 6 Colorful - Accent 6"/>
    <w:basedOn w:val="435"/>
    <w:uiPriority w:val="99"/>
    <w:tblPr>
      <w:tblStyleRowBandSize w:val="1"/>
      <w:tblStyleColBandSize w:val="1"/>
      <w:tblBorders>
        <w:top w:val="single" w:color="FAC090" w:sz="4" w:space="0" w:themeColor="accent6" w:themeTint="98"/>
        <w:bottom w:val="single" w:color="FAC090" w:sz="4" w:space="0" w:themeColor="accent6" w:themeTint="98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auto" w:fill="FDE4D0" w:themeFill="accent6" w:themeFillTint="40"/>
      </w:tcPr>
    </w:tblStylePr>
    <w:tblStylePr w:type="band1Vert"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sz="4" w:space="0" w:themeColor="accent6" w:themeTint="98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sz="4" w:space="0" w:themeColor="accent6" w:themeTint="98"/>
        </w:tcBorders>
      </w:tcPr>
    </w:tblStylePr>
  </w:style>
  <w:style w:type="table" w:styleId="563">
    <w:name w:val="List Table 7 Colorful"/>
    <w:basedOn w:val="435"/>
    <w:uiPriority w:val="99"/>
    <w:tblPr>
      <w:tblStyleRowBandSize w:val="1"/>
      <w:tblStyleColBandSize w:val="1"/>
      <w:tblBorders>
        <w:right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sz="0" w:space="0" w:color="auto"/>
          <w:top w:val="none" w:sz="0" w:space="0" w:color="auto"/>
          <w:right w:val="single" w:color="7F7F7F" w:sz="4" w:space="0" w:themeColor="text1" w:themeTint="80"/>
          <w:bottom w:val="none" w:sz="0" w:space="0" w:color="auto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sz="0" w:space="0" w:color="auto"/>
          <w:top w:val="single" w:color="7F7F7F" w:sz="4" w:space="0" w:themeColor="text1" w:themeTint="80"/>
          <w:right w:val="none" w:sz="0" w:space="0" w:color="auto"/>
          <w:bottom w:val="none" w:sz="0" w:space="0" w:color="auto"/>
        </w:tcBorders>
      </w:tcPr>
    </w:tblStylePr>
  </w:style>
  <w:style w:type="table" w:styleId="564" w:customStyle="1">
    <w:name w:val="List Table 7 Colorful - Accent 1"/>
    <w:basedOn w:val="435"/>
    <w:uiPriority w:val="99"/>
    <w:tblPr>
      <w:tblStyleRowBandSize w:val="1"/>
      <w:tblStyleColBandSize w:val="1"/>
      <w:tblBorders>
        <w:right w:val="single" w:color="4F81BD" w:sz="4" w:space="0" w:themeColor="accent1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auto" w:fill="D2DFEE" w:themeFill="accent1" w:themeFillTint="40"/>
      </w:tcPr>
    </w:tblStylePr>
    <w:tblStylePr w:type="band1Vert"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auto" w:fill="FFFFFF"/>
        <w:tcBorders>
          <w:left w:val="none" w:sz="0" w:space="0" w:color="auto"/>
          <w:top w:val="none" w:sz="0" w:space="0" w:color="auto"/>
          <w:right w:val="single" w:color="4F81BD" w:sz="4" w:space="0" w:themeColor="accent1"/>
          <w:bottom w:val="none" w:sz="0" w:space="0" w:color="auto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auto" w:fill="FFFFFF" w:themeFill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4F81BD" w:sz="4" w:space="0" w:themeColor="accent1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auto" w:fill="FFFFFF"/>
        <w:tcBorders>
          <w:left w:val="single" w:color="4F81BD" w:sz="4" w:space="0" w:themeColor="accent1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auto" w:fill="FFFFFF" w:themeFill="light1"/>
        <w:tcBorders>
          <w:left w:val="none" w:sz="0" w:space="0" w:color="auto"/>
          <w:top w:val="single" w:color="4F81BD" w:sz="4" w:space="0" w:themeColor="accent1"/>
          <w:right w:val="none" w:sz="0" w:space="0" w:color="auto"/>
          <w:bottom w:val="none" w:sz="0" w:space="0" w:color="auto"/>
        </w:tcBorders>
      </w:tcPr>
    </w:tblStylePr>
  </w:style>
  <w:style w:type="table" w:styleId="565" w:customStyle="1">
    <w:name w:val="List Table 7 Colorful - Accent 2"/>
    <w:basedOn w:val="435"/>
    <w:uiPriority w:val="99"/>
    <w:tblPr>
      <w:tblStyleRowBandSize w:val="1"/>
      <w:tblStyleColBandSize w:val="1"/>
      <w:tblBorders>
        <w:right w:val="single" w:color="D99695" w:sz="4" w:space="0" w:themeColor="accent2" w:themeTint="97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auto" w:fill="EFD2D2" w:themeFill="accent2" w:themeFillTint="40"/>
      </w:tcPr>
    </w:tblStylePr>
    <w:tblStylePr w:type="band1Vert"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sz="0" w:space="0" w:color="auto"/>
          <w:top w:val="none" w:sz="0" w:space="0" w:color="auto"/>
          <w:right w:val="single" w:color="D99695" w:sz="4" w:space="0" w:themeColor="accent2" w:themeTint="97"/>
          <w:bottom w:val="none" w:sz="0" w:space="0" w:color="auto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auto" w:fill="FFFFFF" w:themeFill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auto" w:fill="FFFFFF"/>
        <w:tcBorders>
          <w:left w:val="single" w:color="D99695" w:sz="4" w:space="0" w:themeColor="accent2" w:themeTint="97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auto" w:fill="FFFFFF" w:themeFill="light1"/>
        <w:tcBorders>
          <w:left w:val="none" w:sz="0" w:space="0" w:color="auto"/>
          <w:top w:val="single" w:color="D99695" w:sz="4" w:space="0" w:themeColor="accent2" w:themeTint="97"/>
          <w:right w:val="none" w:sz="0" w:space="0" w:color="auto"/>
          <w:bottom w:val="none" w:sz="0" w:space="0" w:color="auto"/>
        </w:tcBorders>
      </w:tcPr>
    </w:tblStylePr>
  </w:style>
  <w:style w:type="table" w:styleId="566" w:customStyle="1">
    <w:name w:val="List Table 7 Colorful - Accent 3"/>
    <w:basedOn w:val="435"/>
    <w:uiPriority w:val="99"/>
    <w:tblPr>
      <w:tblStyleRowBandSize w:val="1"/>
      <w:tblStyleColBandSize w:val="1"/>
      <w:tblBorders>
        <w:right w:val="single" w:color="C3D69B" w:sz="4" w:space="0" w:themeColor="accent3" w:themeTint="98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auto" w:fill="E5EED5" w:themeFill="accent3" w:themeFillTint="40"/>
      </w:tcPr>
    </w:tblStylePr>
    <w:tblStylePr w:type="band1Vert"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auto" w:fill="FFFFFF"/>
        <w:tcBorders>
          <w:left w:val="none" w:sz="0" w:space="0" w:color="auto"/>
          <w:top w:val="none" w:sz="0" w:space="0" w:color="auto"/>
          <w:right w:val="single" w:color="C3D69B" w:sz="4" w:space="0" w:themeColor="accent3" w:themeTint="98"/>
          <w:bottom w:val="none" w:sz="0" w:space="0" w:color="auto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auto" w:fill="FFFFFF" w:themeFill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C3D69B" w:sz="4" w:space="0" w:themeColor="accent3" w:themeTint="98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auto" w:fill="FFFFFF"/>
        <w:tcBorders>
          <w:left w:val="single" w:color="C3D69B" w:sz="4" w:space="0" w:themeColor="accent3" w:themeTint="98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auto" w:fill="FFFFFF" w:themeFill="light1"/>
        <w:tcBorders>
          <w:left w:val="none" w:sz="0" w:space="0" w:color="auto"/>
          <w:top w:val="single" w:color="C3D69B" w:sz="4" w:space="0" w:themeColor="accent3" w:themeTint="98"/>
          <w:right w:val="none" w:sz="0" w:space="0" w:color="auto"/>
          <w:bottom w:val="none" w:sz="0" w:space="0" w:color="auto"/>
        </w:tcBorders>
      </w:tcPr>
    </w:tblStylePr>
  </w:style>
  <w:style w:type="table" w:styleId="567" w:customStyle="1">
    <w:name w:val="List Table 7 Colorful - Accent 4"/>
    <w:basedOn w:val="435"/>
    <w:uiPriority w:val="99"/>
    <w:tblPr>
      <w:tblStyleRowBandSize w:val="1"/>
      <w:tblStyleColBandSize w:val="1"/>
      <w:tblBorders>
        <w:right w:val="single" w:color="B2A1C6" w:sz="4" w:space="0" w:themeColor="accent4" w:themeTint="9A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auto" w:fill="DFD8E7" w:themeFill="accent4" w:themeFillTint="40"/>
      </w:tcPr>
    </w:tblStylePr>
    <w:tblStylePr w:type="band1Vert"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sz="0" w:space="0" w:color="auto"/>
          <w:top w:val="none" w:sz="0" w:space="0" w:color="auto"/>
          <w:right w:val="single" w:color="B2A1C6" w:sz="4" w:space="0" w:themeColor="accent4" w:themeTint="9A"/>
          <w:bottom w:val="none" w:sz="0" w:space="0" w:color="auto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auto" w:fill="FFFFFF" w:themeFill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auto" w:fill="FFFFFF"/>
        <w:tcBorders>
          <w:left w:val="single" w:color="B2A1C6" w:sz="4" w:space="0" w:themeColor="accent4" w:themeTint="9A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auto" w:fill="FFFFFF" w:themeFill="light1"/>
        <w:tcBorders>
          <w:left w:val="none" w:sz="0" w:space="0" w:color="auto"/>
          <w:top w:val="single" w:color="B2A1C6" w:sz="4" w:space="0" w:themeColor="accent4" w:themeTint="9A"/>
          <w:right w:val="none" w:sz="0" w:space="0" w:color="auto"/>
          <w:bottom w:val="none" w:sz="0" w:space="0" w:color="auto"/>
        </w:tcBorders>
      </w:tcPr>
    </w:tblStylePr>
  </w:style>
  <w:style w:type="table" w:styleId="568" w:customStyle="1">
    <w:name w:val="List Table 7 Colorful - Accent 5"/>
    <w:basedOn w:val="435"/>
    <w:uiPriority w:val="99"/>
    <w:tblPr>
      <w:tblStyleRowBandSize w:val="1"/>
      <w:tblStyleColBandSize w:val="1"/>
      <w:tblBorders>
        <w:right w:val="single" w:color="92CCDC" w:sz="4" w:space="0" w:themeColor="accent5" w:themeTint="9A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auto" w:fill="D1EAF0" w:themeFill="accent5" w:themeFillTint="40"/>
      </w:tcPr>
    </w:tblStylePr>
    <w:tblStylePr w:type="band1Vert"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auto" w:fill="FFFFFF"/>
        <w:tcBorders>
          <w:left w:val="none" w:sz="0" w:space="0" w:color="auto"/>
          <w:top w:val="none" w:sz="0" w:space="0" w:color="auto"/>
          <w:right w:val="single" w:color="92CCDC" w:sz="4" w:space="0" w:themeColor="accent5" w:themeTint="9A"/>
          <w:bottom w:val="none" w:sz="0" w:space="0" w:color="auto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auto" w:fill="FFFFFF" w:themeFill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92CCDC" w:sz="4" w:space="0" w:themeColor="accent5" w:themeTint="9A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auto" w:fill="FFFFFF"/>
        <w:tcBorders>
          <w:left w:val="single" w:color="92CCDC" w:sz="4" w:space="0" w:themeColor="accent5" w:themeTint="9A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auto" w:fill="FFFFFF" w:themeFill="light1"/>
        <w:tcBorders>
          <w:left w:val="none" w:sz="0" w:space="0" w:color="auto"/>
          <w:top w:val="single" w:color="92CCDC" w:sz="4" w:space="0" w:themeColor="accent5" w:themeTint="9A"/>
          <w:right w:val="none" w:sz="0" w:space="0" w:color="auto"/>
          <w:bottom w:val="none" w:sz="0" w:space="0" w:color="auto"/>
        </w:tcBorders>
      </w:tcPr>
    </w:tblStylePr>
  </w:style>
  <w:style w:type="table" w:styleId="569" w:customStyle="1">
    <w:name w:val="List Table 7 Colorful - Accent 6"/>
    <w:basedOn w:val="435"/>
    <w:uiPriority w:val="99"/>
    <w:tblPr>
      <w:tblStyleRowBandSize w:val="1"/>
      <w:tblStyleColBandSize w:val="1"/>
      <w:tblBorders>
        <w:right w:val="single" w:color="FAC090" w:sz="4" w:space="0" w:themeColor="accent6" w:themeTint="98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auto" w:fill="FDE4D0" w:themeFill="accent6" w:themeFillTint="40"/>
      </w:tcPr>
    </w:tblStylePr>
    <w:tblStylePr w:type="band1Vert"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auto" w:fill="FFFFFF"/>
        <w:tcBorders>
          <w:left w:val="none" w:sz="0" w:space="0" w:color="auto"/>
          <w:top w:val="none" w:sz="0" w:space="0" w:color="auto"/>
          <w:right w:val="single" w:color="FAC090" w:sz="4" w:space="0" w:themeColor="accent6" w:themeTint="98"/>
          <w:bottom w:val="none" w:sz="0" w:space="0" w:color="auto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auto" w:fill="FFFFFF" w:themeFill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FAC090" w:sz="4" w:space="0" w:themeColor="accent6" w:themeTint="98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auto" w:fill="FFFFFF"/>
        <w:tcBorders>
          <w:left w:val="single" w:color="FAC090" w:sz="4" w:space="0" w:themeColor="accent6" w:themeTint="98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auto" w:fill="FFFFFF" w:themeFill="light1"/>
        <w:tcBorders>
          <w:left w:val="none" w:sz="0" w:space="0" w:color="auto"/>
          <w:top w:val="single" w:color="FAC090" w:sz="4" w:space="0" w:themeColor="accent6" w:themeTint="98"/>
          <w:right w:val="none" w:sz="0" w:space="0" w:color="auto"/>
          <w:bottom w:val="none" w:sz="0" w:space="0" w:color="auto"/>
        </w:tcBorders>
      </w:tcPr>
    </w:tblStylePr>
  </w:style>
  <w:style w:type="table" w:styleId="570" w:customStyle="1">
    <w:name w:val="Lined - Accent"/>
    <w:basedOn w:val="435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571" w:customStyle="1">
    <w:name w:val="Bordered &amp; Lined - Accent"/>
    <w:basedOn w:val="435"/>
    <w:uiPriority w:val="99"/>
    <w:rPr>
      <w:color w:val="404040"/>
      <w:sz w:val="20"/>
      <w:szCs w:val="20"/>
    </w:rPr>
    <w:tblPr>
      <w:tblStyleRowBandSize w:val="1"/>
      <w:tblStyleColBandSize w:val="1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character" w:styleId="572">
    <w:name w:val="Hyperlink"/>
    <w:uiPriority w:val="99"/>
    <w:unhideWhenUsed/>
    <w:rPr>
      <w:color w:val="0000FF" w:themeColor="hyperlink"/>
      <w:u w:val="single"/>
    </w:rPr>
  </w:style>
  <w:style w:type="character" w:styleId="573" w:customStyle="1">
    <w:name w:val="Note de bas de page Car1"/>
    <w:link w:val="441"/>
    <w:uiPriority w:val="99"/>
    <w:rPr>
      <w:sz w:val="18"/>
    </w:rPr>
  </w:style>
  <w:style w:type="character" w:styleId="574">
    <w:name w:val="footnote reference"/>
    <w:basedOn w:val="434"/>
    <w:uiPriority w:val="99"/>
    <w:unhideWhenUsed/>
    <w:rPr>
      <w:vertAlign w:val="superscript"/>
    </w:rPr>
  </w:style>
  <w:style w:type="paragraph" w:styleId="575" w:customStyle="1">
    <w:name w:val="Titre 11"/>
    <w:basedOn w:val="424"/>
    <w:next w:val="424"/>
    <w:link w:val="604"/>
    <w:qFormat/>
    <w:rPr>
      <w:rFonts w:ascii="Nunito" w:hAnsi="Nunito" w:cs="Nunito" w:eastAsia="Nunito"/>
      <w:b/>
      <w:sz w:val="28"/>
      <w:szCs w:val="28"/>
    </w:rPr>
    <w:pPr>
      <w:keepNext/>
      <w:outlineLvl w:val="0"/>
    </w:pPr>
  </w:style>
  <w:style w:type="paragraph" w:styleId="576" w:customStyle="1">
    <w:name w:val="Titre 21"/>
    <w:basedOn w:val="424"/>
    <w:next w:val="424"/>
    <w:link w:val="585"/>
    <w:qFormat/>
    <w:rPr>
      <w:rFonts w:ascii="Nunito" w:hAnsi="Nunito" w:cs="Nunito" w:eastAsia="Nunito"/>
      <w:b/>
      <w:sz w:val="28"/>
      <w:szCs w:val="28"/>
    </w:rPr>
    <w:pPr>
      <w:jc w:val="center"/>
      <w:keepNext/>
      <w:outlineLvl w:val="1"/>
    </w:pPr>
  </w:style>
  <w:style w:type="paragraph" w:styleId="577" w:customStyle="1">
    <w:name w:val="Titre 31"/>
    <w:basedOn w:val="424"/>
    <w:next w:val="424"/>
    <w:link w:val="586"/>
    <w:qFormat/>
    <w:rPr>
      <w:b/>
      <w:sz w:val="28"/>
      <w:szCs w:val="28"/>
    </w:rPr>
    <w:pPr>
      <w:keepLines/>
      <w:keepNext/>
      <w:spacing w:after="80" w:before="280"/>
      <w:outlineLvl w:val="2"/>
    </w:pPr>
  </w:style>
  <w:style w:type="paragraph" w:styleId="578" w:customStyle="1">
    <w:name w:val="Titre 41"/>
    <w:basedOn w:val="424"/>
    <w:next w:val="424"/>
    <w:link w:val="587"/>
    <w:qFormat/>
    <w:rPr>
      <w:b/>
    </w:rPr>
    <w:pPr>
      <w:keepLines/>
      <w:keepNext/>
      <w:spacing w:after="40" w:before="240"/>
      <w:outlineLvl w:val="3"/>
    </w:pPr>
  </w:style>
  <w:style w:type="paragraph" w:styleId="579" w:customStyle="1">
    <w:name w:val="Titre 51"/>
    <w:basedOn w:val="424"/>
    <w:next w:val="424"/>
    <w:link w:val="588"/>
    <w:qFormat/>
    <w:rPr>
      <w:b/>
      <w:sz w:val="22"/>
      <w:szCs w:val="22"/>
    </w:rPr>
    <w:pPr>
      <w:keepLines/>
      <w:keepNext/>
      <w:spacing w:after="40" w:before="220"/>
      <w:outlineLvl w:val="4"/>
    </w:pPr>
  </w:style>
  <w:style w:type="paragraph" w:styleId="580" w:customStyle="1">
    <w:name w:val="Titre 61"/>
    <w:basedOn w:val="424"/>
    <w:next w:val="424"/>
    <w:link w:val="589"/>
    <w:qFormat/>
    <w:rPr>
      <w:b/>
      <w:sz w:val="20"/>
      <w:szCs w:val="20"/>
    </w:rPr>
    <w:pPr>
      <w:keepLines/>
      <w:keepNext/>
      <w:spacing w:after="40" w:before="200"/>
      <w:outlineLvl w:val="5"/>
    </w:pPr>
  </w:style>
  <w:style w:type="paragraph" w:styleId="581" w:customStyle="1">
    <w:name w:val="Titre 71"/>
    <w:basedOn w:val="424"/>
    <w:next w:val="424"/>
    <w:link w:val="590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paragraph" w:styleId="582" w:customStyle="1">
    <w:name w:val="Titre 81"/>
    <w:basedOn w:val="424"/>
    <w:next w:val="424"/>
    <w:link w:val="591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paragraph" w:styleId="583" w:customStyle="1">
    <w:name w:val="Titre 91"/>
    <w:basedOn w:val="424"/>
    <w:next w:val="424"/>
    <w:link w:val="59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584" w:customStyle="1">
    <w:name w:val="Titre 1 Car1"/>
    <w:basedOn w:val="434"/>
    <w:link w:val="425"/>
    <w:qFormat/>
    <w:uiPriority w:val="9"/>
    <w:rPr>
      <w:rFonts w:ascii="Arial" w:hAnsi="Arial" w:cs="Arial" w:eastAsia="Arial"/>
      <w:sz w:val="40"/>
      <w:szCs w:val="40"/>
    </w:rPr>
  </w:style>
  <w:style w:type="character" w:styleId="585" w:customStyle="1">
    <w:name w:val="Titre 2 Car"/>
    <w:basedOn w:val="434"/>
    <w:link w:val="576"/>
    <w:qFormat/>
    <w:uiPriority w:val="9"/>
    <w:rPr>
      <w:rFonts w:ascii="Arial" w:hAnsi="Arial" w:cs="Arial" w:eastAsia="Arial"/>
      <w:sz w:val="34"/>
    </w:rPr>
  </w:style>
  <w:style w:type="character" w:styleId="586" w:customStyle="1">
    <w:name w:val="Titre 3 Car"/>
    <w:basedOn w:val="434"/>
    <w:link w:val="577"/>
    <w:qFormat/>
    <w:uiPriority w:val="9"/>
    <w:rPr>
      <w:rFonts w:ascii="Arial" w:hAnsi="Arial" w:cs="Arial" w:eastAsia="Arial"/>
      <w:sz w:val="30"/>
      <w:szCs w:val="30"/>
    </w:rPr>
  </w:style>
  <w:style w:type="character" w:styleId="587" w:customStyle="1">
    <w:name w:val="Titre 4 Car"/>
    <w:basedOn w:val="434"/>
    <w:link w:val="578"/>
    <w:qFormat/>
    <w:uiPriority w:val="9"/>
    <w:rPr>
      <w:rFonts w:ascii="Arial" w:hAnsi="Arial" w:cs="Arial" w:eastAsia="Arial"/>
      <w:b/>
      <w:bCs/>
      <w:sz w:val="26"/>
      <w:szCs w:val="26"/>
    </w:rPr>
  </w:style>
  <w:style w:type="character" w:styleId="588" w:customStyle="1">
    <w:name w:val="Titre 5 Car"/>
    <w:basedOn w:val="434"/>
    <w:link w:val="579"/>
    <w:qFormat/>
    <w:uiPriority w:val="9"/>
    <w:rPr>
      <w:rFonts w:ascii="Arial" w:hAnsi="Arial" w:cs="Arial" w:eastAsia="Arial"/>
      <w:b/>
      <w:bCs/>
      <w:sz w:val="24"/>
      <w:szCs w:val="24"/>
    </w:rPr>
  </w:style>
  <w:style w:type="character" w:styleId="589" w:customStyle="1">
    <w:name w:val="Titre 6 Car"/>
    <w:basedOn w:val="434"/>
    <w:link w:val="580"/>
    <w:qFormat/>
    <w:uiPriority w:val="9"/>
    <w:rPr>
      <w:rFonts w:ascii="Arial" w:hAnsi="Arial" w:cs="Arial" w:eastAsia="Arial"/>
      <w:b/>
      <w:bCs/>
      <w:sz w:val="22"/>
      <w:szCs w:val="22"/>
    </w:rPr>
  </w:style>
  <w:style w:type="character" w:styleId="590" w:customStyle="1">
    <w:name w:val="Titre 7 Car"/>
    <w:basedOn w:val="434"/>
    <w:link w:val="581"/>
    <w:qFormat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591" w:customStyle="1">
    <w:name w:val="Titre 8 Car"/>
    <w:basedOn w:val="434"/>
    <w:link w:val="582"/>
    <w:qFormat/>
    <w:uiPriority w:val="9"/>
    <w:rPr>
      <w:rFonts w:ascii="Arial" w:hAnsi="Arial" w:cs="Arial" w:eastAsia="Arial"/>
      <w:i/>
      <w:iCs/>
      <w:sz w:val="22"/>
      <w:szCs w:val="22"/>
    </w:rPr>
  </w:style>
  <w:style w:type="character" w:styleId="592" w:customStyle="1">
    <w:name w:val="Titre 9 Car"/>
    <w:basedOn w:val="434"/>
    <w:link w:val="583"/>
    <w:qFormat/>
    <w:uiPriority w:val="9"/>
    <w:rPr>
      <w:rFonts w:ascii="Arial" w:hAnsi="Arial" w:cs="Arial" w:eastAsia="Arial"/>
      <w:i/>
      <w:iCs/>
      <w:sz w:val="21"/>
      <w:szCs w:val="21"/>
    </w:rPr>
  </w:style>
  <w:style w:type="character" w:styleId="593" w:customStyle="1">
    <w:name w:val="Titre Car"/>
    <w:basedOn w:val="434"/>
    <w:link w:val="605"/>
    <w:qFormat/>
    <w:uiPriority w:val="10"/>
    <w:rPr>
      <w:sz w:val="48"/>
      <w:szCs w:val="48"/>
    </w:rPr>
  </w:style>
  <w:style w:type="character" w:styleId="594" w:customStyle="1">
    <w:name w:val="Sous-titre Car"/>
    <w:basedOn w:val="434"/>
    <w:qFormat/>
    <w:uiPriority w:val="11"/>
    <w:rPr>
      <w:sz w:val="24"/>
      <w:szCs w:val="24"/>
    </w:rPr>
  </w:style>
  <w:style w:type="character" w:styleId="595" w:customStyle="1">
    <w:name w:val="Citation Car"/>
    <w:link w:val="612"/>
    <w:qFormat/>
    <w:uiPriority w:val="29"/>
    <w:rPr>
      <w:i/>
    </w:rPr>
  </w:style>
  <w:style w:type="character" w:styleId="596" w:customStyle="1">
    <w:name w:val="Citation intense Car"/>
    <w:link w:val="613"/>
    <w:qFormat/>
    <w:uiPriority w:val="30"/>
    <w:rPr>
      <w:i/>
    </w:rPr>
  </w:style>
  <w:style w:type="character" w:styleId="597" w:customStyle="1">
    <w:name w:val="En-tête Car"/>
    <w:basedOn w:val="434"/>
    <w:qFormat/>
    <w:uiPriority w:val="99"/>
  </w:style>
  <w:style w:type="character" w:styleId="598" w:customStyle="1">
    <w:name w:val="Pied de page Car"/>
    <w:basedOn w:val="434"/>
    <w:link w:val="616"/>
    <w:qFormat/>
    <w:uiPriority w:val="99"/>
  </w:style>
  <w:style w:type="character" w:styleId="599" w:customStyle="1">
    <w:name w:val="Lien Internet"/>
    <w:uiPriority w:val="99"/>
    <w:unhideWhenUsed/>
    <w:rPr>
      <w:color w:val="0000FF" w:themeColor="hyperlink"/>
      <w:u w:val="single"/>
    </w:rPr>
  </w:style>
  <w:style w:type="character" w:styleId="600" w:customStyle="1">
    <w:name w:val="Note de bas de page Car"/>
    <w:link w:val="617"/>
    <w:qFormat/>
    <w:uiPriority w:val="99"/>
    <w:rPr>
      <w:sz w:val="18"/>
    </w:rPr>
  </w:style>
  <w:style w:type="character" w:styleId="601" w:customStyle="1">
    <w:name w:val="Ancre de note de bas de page"/>
    <w:rPr>
      <w:vertAlign w:val="superscript"/>
    </w:rPr>
  </w:style>
  <w:style w:type="character" w:styleId="602" w:customStyle="1">
    <w:name w:val="Footnote Characters"/>
    <w:basedOn w:val="434"/>
    <w:qFormat/>
    <w:uiPriority w:val="99"/>
    <w:unhideWhenUsed/>
    <w:rPr>
      <w:vertAlign w:val="superscript"/>
    </w:rPr>
  </w:style>
  <w:style w:type="character" w:styleId="603" w:customStyle="1">
    <w:name w:val="Texte de bulles Car"/>
    <w:basedOn w:val="434"/>
    <w:link w:val="629"/>
    <w:qFormat/>
    <w:uiPriority w:val="99"/>
    <w:semiHidden/>
    <w:rPr>
      <w:rFonts w:ascii="Tahoma" w:hAnsi="Tahoma" w:cs="Tahoma"/>
      <w:sz w:val="16"/>
      <w:szCs w:val="16"/>
    </w:rPr>
  </w:style>
  <w:style w:type="character" w:styleId="604" w:customStyle="1">
    <w:name w:val="Titre 1 Car"/>
    <w:basedOn w:val="434"/>
    <w:link w:val="575"/>
    <w:qFormat/>
    <w:rPr>
      <w:rFonts w:ascii="Nunito" w:hAnsi="Nunito" w:cs="Nunito" w:eastAsia="Nunito"/>
      <w:b/>
      <w:sz w:val="28"/>
      <w:szCs w:val="28"/>
    </w:rPr>
  </w:style>
  <w:style w:type="paragraph" w:styleId="605">
    <w:name w:val="Title"/>
    <w:basedOn w:val="424"/>
    <w:next w:val="606"/>
    <w:link w:val="593"/>
    <w:qFormat/>
    <w:rPr>
      <w:rFonts w:ascii="Liberation Sans" w:hAnsi="Liberation Sans" w:cs="Liberation Sans" w:eastAsia="Liberation Sans"/>
      <w:sz w:val="28"/>
      <w:szCs w:val="28"/>
    </w:rPr>
    <w:pPr>
      <w:keepNext/>
      <w:spacing w:after="120" w:before="240"/>
    </w:pPr>
  </w:style>
  <w:style w:type="paragraph" w:styleId="606">
    <w:name w:val="Body Text"/>
    <w:basedOn w:val="424"/>
    <w:pPr>
      <w:spacing w:lineRule="auto" w:line="276" w:after="140"/>
    </w:pPr>
  </w:style>
  <w:style w:type="paragraph" w:styleId="607">
    <w:name w:val="List"/>
    <w:basedOn w:val="606"/>
    <w:rPr>
      <w:rFonts w:cs="Arial"/>
    </w:rPr>
  </w:style>
  <w:style w:type="paragraph" w:styleId="608" w:customStyle="1">
    <w:name w:val="Légende1"/>
    <w:basedOn w:val="424"/>
    <w:qFormat/>
    <w:rPr>
      <w:rFonts w:cs="Arial"/>
      <w:i/>
      <w:iCs/>
    </w:rPr>
    <w:pPr>
      <w:spacing w:after="120" w:before="120"/>
    </w:pPr>
  </w:style>
  <w:style w:type="paragraph" w:styleId="609" w:customStyle="1">
    <w:name w:val="Index"/>
    <w:basedOn w:val="424"/>
    <w:qFormat/>
    <w:rPr>
      <w:rFonts w:cs="Arial"/>
    </w:rPr>
  </w:style>
  <w:style w:type="paragraph" w:styleId="610">
    <w:name w:val="List Paragraph"/>
    <w:basedOn w:val="424"/>
    <w:qFormat/>
    <w:uiPriority w:val="34"/>
    <w:pPr>
      <w:contextualSpacing w:val="true"/>
      <w:ind w:left="720"/>
    </w:pPr>
  </w:style>
  <w:style w:type="paragraph" w:styleId="611">
    <w:name w:val="No Spacing"/>
    <w:qFormat/>
    <w:uiPriority w:val="1"/>
  </w:style>
  <w:style w:type="paragraph" w:styleId="612">
    <w:name w:val="Quote"/>
    <w:basedOn w:val="424"/>
    <w:next w:val="424"/>
    <w:link w:val="595"/>
    <w:qFormat/>
    <w:uiPriority w:val="29"/>
    <w:rPr>
      <w:i/>
    </w:rPr>
    <w:pPr>
      <w:ind w:left="720" w:right="720"/>
    </w:pPr>
  </w:style>
  <w:style w:type="paragraph" w:styleId="613">
    <w:name w:val="Intense Quote"/>
    <w:basedOn w:val="424"/>
    <w:next w:val="424"/>
    <w:link w:val="596"/>
    <w:qFormat/>
    <w:uiPriority w:val="30"/>
    <w:rPr>
      <w:i/>
    </w:rPr>
    <w:pPr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paragraph" w:styleId="614" w:customStyle="1">
    <w:name w:val="En-tête et pied de page"/>
    <w:basedOn w:val="424"/>
    <w:qFormat/>
  </w:style>
  <w:style w:type="paragraph" w:styleId="615" w:customStyle="1">
    <w:name w:val="En-tête1"/>
    <w:basedOn w:val="424"/>
    <w:link w:val="463"/>
    <w:uiPriority w:val="99"/>
    <w:unhideWhenUsed/>
    <w:pPr>
      <w:tabs>
        <w:tab w:val="center" w:pos="7143" w:leader="none"/>
        <w:tab w:val="right" w:pos="14287" w:leader="none"/>
      </w:tabs>
    </w:pPr>
  </w:style>
  <w:style w:type="paragraph" w:styleId="616" w:customStyle="1">
    <w:name w:val="Pied de page1"/>
    <w:basedOn w:val="424"/>
    <w:link w:val="598"/>
    <w:uiPriority w:val="99"/>
    <w:unhideWhenUsed/>
    <w:pPr>
      <w:tabs>
        <w:tab w:val="center" w:pos="7143" w:leader="none"/>
        <w:tab w:val="right" w:pos="14287" w:leader="none"/>
      </w:tabs>
    </w:pPr>
  </w:style>
  <w:style w:type="paragraph" w:styleId="617" w:customStyle="1">
    <w:name w:val="Note de bas de page1"/>
    <w:basedOn w:val="424"/>
    <w:link w:val="600"/>
    <w:uiPriority w:val="99"/>
    <w:semiHidden/>
    <w:unhideWhenUsed/>
    <w:rPr>
      <w:sz w:val="18"/>
    </w:rPr>
    <w:pPr>
      <w:spacing w:after="40"/>
    </w:pPr>
  </w:style>
  <w:style w:type="paragraph" w:styleId="618" w:customStyle="1">
    <w:name w:val="TM 11"/>
    <w:basedOn w:val="424"/>
    <w:next w:val="424"/>
    <w:uiPriority w:val="39"/>
    <w:unhideWhenUsed/>
    <w:pPr>
      <w:spacing w:after="57"/>
    </w:pPr>
  </w:style>
  <w:style w:type="paragraph" w:styleId="619" w:customStyle="1">
    <w:name w:val="TM 21"/>
    <w:basedOn w:val="424"/>
    <w:next w:val="424"/>
    <w:uiPriority w:val="39"/>
    <w:unhideWhenUsed/>
    <w:pPr>
      <w:ind w:left="283"/>
      <w:spacing w:after="57"/>
    </w:pPr>
  </w:style>
  <w:style w:type="paragraph" w:styleId="620" w:customStyle="1">
    <w:name w:val="TM 31"/>
    <w:basedOn w:val="424"/>
    <w:next w:val="424"/>
    <w:uiPriority w:val="39"/>
    <w:unhideWhenUsed/>
    <w:pPr>
      <w:ind w:left="567"/>
      <w:spacing w:after="57"/>
    </w:pPr>
  </w:style>
  <w:style w:type="paragraph" w:styleId="621" w:customStyle="1">
    <w:name w:val="TM 41"/>
    <w:basedOn w:val="424"/>
    <w:next w:val="424"/>
    <w:uiPriority w:val="39"/>
    <w:unhideWhenUsed/>
    <w:pPr>
      <w:ind w:left="850"/>
      <w:spacing w:after="57"/>
    </w:pPr>
  </w:style>
  <w:style w:type="paragraph" w:styleId="622" w:customStyle="1">
    <w:name w:val="TM 51"/>
    <w:basedOn w:val="424"/>
    <w:next w:val="424"/>
    <w:uiPriority w:val="39"/>
    <w:unhideWhenUsed/>
    <w:pPr>
      <w:ind w:left="1134"/>
      <w:spacing w:after="57"/>
    </w:pPr>
  </w:style>
  <w:style w:type="paragraph" w:styleId="623" w:customStyle="1">
    <w:name w:val="TM 61"/>
    <w:basedOn w:val="424"/>
    <w:next w:val="424"/>
    <w:uiPriority w:val="39"/>
    <w:unhideWhenUsed/>
    <w:pPr>
      <w:ind w:left="1417"/>
      <w:spacing w:after="57"/>
    </w:pPr>
  </w:style>
  <w:style w:type="paragraph" w:styleId="624" w:customStyle="1">
    <w:name w:val="TM 71"/>
    <w:basedOn w:val="424"/>
    <w:next w:val="424"/>
    <w:uiPriority w:val="39"/>
    <w:unhideWhenUsed/>
    <w:pPr>
      <w:ind w:left="1701"/>
      <w:spacing w:after="57"/>
    </w:pPr>
  </w:style>
  <w:style w:type="paragraph" w:styleId="625" w:customStyle="1">
    <w:name w:val="TM 81"/>
    <w:basedOn w:val="424"/>
    <w:next w:val="424"/>
    <w:uiPriority w:val="39"/>
    <w:unhideWhenUsed/>
    <w:pPr>
      <w:ind w:left="1984"/>
      <w:spacing w:after="57"/>
    </w:pPr>
  </w:style>
  <w:style w:type="paragraph" w:styleId="626" w:customStyle="1">
    <w:name w:val="TM 91"/>
    <w:basedOn w:val="424"/>
    <w:next w:val="424"/>
    <w:uiPriority w:val="39"/>
    <w:unhideWhenUsed/>
    <w:pPr>
      <w:ind w:left="2268"/>
      <w:spacing w:after="57"/>
    </w:pPr>
  </w:style>
  <w:style w:type="paragraph" w:styleId="627">
    <w:name w:val="TOC Heading"/>
    <w:qFormat/>
    <w:uiPriority w:val="39"/>
    <w:unhideWhenUsed/>
  </w:style>
  <w:style w:type="paragraph" w:styleId="628">
    <w:name w:val="Subtitle"/>
    <w:basedOn w:val="424"/>
    <w:next w:val="424"/>
    <w:link w:val="460"/>
    <w:qFormat/>
    <w:rPr>
      <w:rFonts w:ascii="Georgia" w:hAnsi="Georgia" w:cs="Georgia" w:eastAsia="Georgia"/>
      <w:i/>
      <w:color w:val="666666"/>
      <w:sz w:val="48"/>
      <w:szCs w:val="48"/>
    </w:rPr>
    <w:pPr>
      <w:keepLines/>
      <w:keepNext/>
      <w:spacing w:after="80" w:before="360"/>
    </w:pPr>
  </w:style>
  <w:style w:type="paragraph" w:styleId="629">
    <w:name w:val="Balloon Text"/>
    <w:basedOn w:val="424"/>
    <w:link w:val="603"/>
    <w:qFormat/>
    <w:uiPriority w:val="99"/>
    <w:semiHidden/>
    <w:unhideWhenUsed/>
    <w:rPr>
      <w:rFonts w:ascii="Tahoma" w:hAnsi="Tahoma" w:cs="Tahoma"/>
      <w:sz w:val="16"/>
      <w:szCs w:val="16"/>
    </w:rPr>
  </w:style>
  <w:style w:type="paragraph" w:styleId="630">
    <w:name w:val="Normal (Web)"/>
    <w:basedOn w:val="424"/>
    <w:qFormat/>
    <w:uiPriority w:val="99"/>
    <w:unhideWhenUsed/>
    <w:rPr>
      <w:color w:val="auto"/>
    </w:rPr>
    <w:pPr>
      <w:spacing w:afterAutospacing="1" w:beforeAutospacing="1"/>
    </w:pPr>
  </w:style>
  <w:style w:type="paragraph" w:styleId="631" w:customStyle="1">
    <w:name w:val="Contenu de cadre"/>
    <w:basedOn w:val="424"/>
    <w:qFormat/>
  </w:style>
  <w:style w:type="table" w:styleId="632">
    <w:name w:val="Table Grid"/>
    <w:basedOn w:val="435"/>
    <w:uiPriority w:val="59"/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  <w:style w:type="table" w:styleId="633" w:customStyle="1">
    <w:name w:val="Lined"/>
    <w:basedOn w:val="435"/>
    <w:uiPriority w:val="99"/>
    <w:rPr>
      <w:color w:val="404040"/>
      <w:sz w:val="20"/>
      <w:szCs w:val="20"/>
    </w:rPr>
    <w:tblPr>
      <w:tblStyleRowBandSize w:val="1"/>
      <w:tblStyleColBandSize w:val="1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auto" w:fill="F2F2F2"/>
      </w:tcPr>
    </w:tblStylePr>
    <w:tblStylePr w:type="band2Vert">
      <w:rPr>
        <w:color w:val="404040"/>
        <w:sz w:val="22"/>
      </w:rPr>
      <w:tcPr>
        <w:shd w:val="clear" w:color="auto" w:fill="F2F2F2"/>
      </w:tcPr>
    </w:tblStylePr>
    <w:tblStylePr w:type="firstCol">
      <w:rPr>
        <w:color w:val="F2F2F2"/>
        <w:sz w:val="22"/>
      </w:rPr>
      <w:tcPr>
        <w:shd w:val="clear" w:color="auto" w:fill="7F7F7F"/>
      </w:tcPr>
    </w:tblStylePr>
    <w:tblStylePr w:type="firstRow">
      <w:rPr>
        <w:color w:val="F2F2F2"/>
        <w:sz w:val="22"/>
      </w:rPr>
      <w:tcPr>
        <w:shd w:val="clear" w:color="auto" w:fill="7F7F7F"/>
      </w:tcPr>
    </w:tblStylePr>
    <w:tblStylePr w:type="lastCol">
      <w:rPr>
        <w:color w:val="F2F2F2"/>
        <w:sz w:val="22"/>
      </w:rPr>
      <w:tcPr>
        <w:shd w:val="clear" w:color="auto" w:fill="7F7F7F"/>
      </w:tcPr>
    </w:tblStylePr>
    <w:tblStylePr w:type="lastRow">
      <w:rPr>
        <w:color w:val="F2F2F2"/>
        <w:sz w:val="22"/>
      </w:rPr>
      <w:tcPr>
        <w:shd w:val="clear" w:color="auto" w:fill="7F7F7F"/>
      </w:tcPr>
    </w:tblStylePr>
  </w:style>
  <w:style w:type="table" w:styleId="634" w:customStyle="1">
    <w:name w:val="Lined - Accent 1"/>
    <w:basedOn w:val="435"/>
    <w:uiPriority w:val="99"/>
    <w:rPr>
      <w:color w:val="404040"/>
      <w:sz w:val="20"/>
      <w:szCs w:val="20"/>
    </w:rPr>
    <w:tblPr>
      <w:tblStyleRowBandSize w:val="1"/>
      <w:tblStyleColBandSize w:val="1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auto" w:fill="C6D9F1"/>
      </w:tcPr>
    </w:tblStylePr>
    <w:tblStylePr w:type="band2Vert">
      <w:rPr>
        <w:color w:val="404040"/>
        <w:sz w:val="22"/>
      </w:rPr>
      <w:tcPr>
        <w:shd w:val="clear" w:color="auto" w:fill="C6D9F1"/>
      </w:tcPr>
    </w:tblStylePr>
    <w:tblStylePr w:type="firstCol">
      <w:rPr>
        <w:color w:val="F2F2F2"/>
        <w:sz w:val="22"/>
      </w:rPr>
      <w:tcPr>
        <w:shd w:val="clear" w:color="auto" w:fill="548DD4"/>
      </w:tcPr>
    </w:tblStylePr>
    <w:tblStylePr w:type="firstRow">
      <w:rPr>
        <w:color w:val="F2F2F2"/>
        <w:sz w:val="22"/>
      </w:rPr>
      <w:tcPr>
        <w:shd w:val="clear" w:color="auto" w:fill="548DD4"/>
      </w:tcPr>
    </w:tblStylePr>
    <w:tblStylePr w:type="lastCol">
      <w:rPr>
        <w:color w:val="F2F2F2"/>
        <w:sz w:val="22"/>
      </w:rPr>
      <w:tcPr>
        <w:shd w:val="clear" w:color="auto" w:fill="548DD4"/>
      </w:tcPr>
    </w:tblStylePr>
    <w:tblStylePr w:type="lastRow">
      <w:rPr>
        <w:color w:val="F2F2F2"/>
        <w:sz w:val="22"/>
      </w:rPr>
      <w:tcPr>
        <w:shd w:val="clear" w:color="auto" w:fill="548DD4"/>
      </w:tcPr>
    </w:tblStylePr>
  </w:style>
  <w:style w:type="table" w:styleId="635" w:customStyle="1">
    <w:name w:val="Lined - Accent 2"/>
    <w:basedOn w:val="435"/>
    <w:uiPriority w:val="99"/>
    <w:rPr>
      <w:color w:val="404040"/>
      <w:sz w:val="20"/>
      <w:szCs w:val="20"/>
    </w:rPr>
    <w:tblPr>
      <w:tblStyleRowBandSize w:val="1"/>
      <w:tblStyleColBandSize w:val="1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auto" w:fill="F2DBDB"/>
      </w:tcPr>
    </w:tblStylePr>
    <w:tblStylePr w:type="band2Vert">
      <w:rPr>
        <w:color w:val="404040"/>
        <w:sz w:val="22"/>
      </w:rPr>
      <w:tcPr>
        <w:shd w:val="clear" w:color="auto" w:fill="F2DBDB"/>
      </w:tcPr>
    </w:tblStylePr>
    <w:tblStylePr w:type="firstCol">
      <w:rPr>
        <w:color w:val="F2F2F2"/>
        <w:sz w:val="22"/>
      </w:rPr>
      <w:tcPr>
        <w:shd w:val="clear" w:color="auto" w:fill="D99594"/>
      </w:tcPr>
    </w:tblStylePr>
    <w:tblStylePr w:type="firstRow">
      <w:rPr>
        <w:color w:val="F2F2F2"/>
        <w:sz w:val="22"/>
      </w:rPr>
      <w:tcPr>
        <w:shd w:val="clear" w:color="auto" w:fill="D99594"/>
      </w:tcPr>
    </w:tblStylePr>
    <w:tblStylePr w:type="lastCol">
      <w:rPr>
        <w:color w:val="F2F2F2"/>
        <w:sz w:val="22"/>
      </w:rPr>
      <w:tcPr>
        <w:shd w:val="clear" w:color="auto" w:fill="D99594"/>
      </w:tcPr>
    </w:tblStylePr>
    <w:tblStylePr w:type="lastRow">
      <w:rPr>
        <w:color w:val="F2F2F2"/>
        <w:sz w:val="22"/>
      </w:rPr>
      <w:tcPr>
        <w:shd w:val="clear" w:color="auto" w:fill="D99594"/>
      </w:tcPr>
    </w:tblStylePr>
  </w:style>
  <w:style w:type="table" w:styleId="636" w:customStyle="1">
    <w:name w:val="Lined - Accent 3"/>
    <w:basedOn w:val="435"/>
    <w:uiPriority w:val="99"/>
    <w:rPr>
      <w:color w:val="404040"/>
      <w:sz w:val="20"/>
      <w:szCs w:val="20"/>
    </w:rPr>
    <w:tblPr>
      <w:tblStyleRowBandSize w:val="1"/>
      <w:tblStyleColBandSize w:val="1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auto" w:fill="EAF1DD"/>
      </w:tcPr>
    </w:tblStylePr>
    <w:tblStylePr w:type="band2Vert">
      <w:rPr>
        <w:color w:val="404040"/>
        <w:sz w:val="22"/>
      </w:rPr>
      <w:tcPr>
        <w:shd w:val="clear" w:color="auto" w:fill="EAF1DD"/>
      </w:tcPr>
    </w:tblStylePr>
    <w:tblStylePr w:type="firstCol">
      <w:rPr>
        <w:color w:val="F2F2F2"/>
        <w:sz w:val="22"/>
      </w:rPr>
      <w:tcPr>
        <w:shd w:val="clear" w:color="auto" w:fill="9BB559"/>
      </w:tcPr>
    </w:tblStylePr>
    <w:tblStylePr w:type="firstRow">
      <w:rPr>
        <w:color w:val="F2F2F2"/>
        <w:sz w:val="22"/>
      </w:rPr>
      <w:tcPr>
        <w:shd w:val="clear" w:color="auto" w:fill="9BB559"/>
      </w:tcPr>
    </w:tblStylePr>
    <w:tblStylePr w:type="lastCol">
      <w:rPr>
        <w:color w:val="F2F2F2"/>
        <w:sz w:val="22"/>
      </w:rPr>
      <w:tcPr>
        <w:shd w:val="clear" w:color="auto" w:fill="9BB559"/>
      </w:tcPr>
    </w:tblStylePr>
    <w:tblStylePr w:type="lastRow">
      <w:rPr>
        <w:color w:val="F2F2F2"/>
        <w:sz w:val="22"/>
      </w:rPr>
      <w:tcPr>
        <w:shd w:val="clear" w:color="auto" w:fill="9BB559"/>
      </w:tcPr>
    </w:tblStylePr>
  </w:style>
  <w:style w:type="table" w:styleId="637" w:customStyle="1">
    <w:name w:val="Lined - Accent 4"/>
    <w:basedOn w:val="435"/>
    <w:uiPriority w:val="99"/>
    <w:rPr>
      <w:color w:val="404040"/>
      <w:sz w:val="20"/>
      <w:szCs w:val="20"/>
    </w:rPr>
    <w:tblPr>
      <w:tblStyleRowBandSize w:val="1"/>
      <w:tblStyleColBandSize w:val="1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auto" w:fill="E5DFEC"/>
      </w:tcPr>
    </w:tblStylePr>
    <w:tblStylePr w:type="band2Vert">
      <w:rPr>
        <w:color w:val="404040"/>
        <w:sz w:val="22"/>
      </w:rPr>
      <w:tcPr>
        <w:shd w:val="clear" w:color="auto" w:fill="E5DFEC"/>
      </w:tcPr>
    </w:tblStylePr>
    <w:tblStylePr w:type="firstCol">
      <w:rPr>
        <w:color w:val="F2F2F2"/>
        <w:sz w:val="22"/>
      </w:rPr>
      <w:tcPr>
        <w:shd w:val="clear" w:color="auto" w:fill="B2A1C7"/>
      </w:tcPr>
    </w:tblStylePr>
    <w:tblStylePr w:type="firstRow">
      <w:rPr>
        <w:color w:val="F2F2F2"/>
        <w:sz w:val="22"/>
      </w:rPr>
      <w:tcPr>
        <w:shd w:val="clear" w:color="auto" w:fill="B2A1C7"/>
      </w:tcPr>
    </w:tblStylePr>
    <w:tblStylePr w:type="lastCol">
      <w:rPr>
        <w:color w:val="F2F2F2"/>
        <w:sz w:val="22"/>
      </w:rPr>
      <w:tcPr>
        <w:shd w:val="clear" w:color="auto" w:fill="B2A1C7"/>
      </w:tcPr>
    </w:tblStylePr>
    <w:tblStylePr w:type="lastRow">
      <w:rPr>
        <w:color w:val="F2F2F2"/>
        <w:sz w:val="22"/>
      </w:rPr>
      <w:tcPr>
        <w:shd w:val="clear" w:color="auto" w:fill="B2A1C7"/>
      </w:tcPr>
    </w:tblStylePr>
  </w:style>
  <w:style w:type="table" w:styleId="638" w:customStyle="1">
    <w:name w:val="Lined - Accent 5"/>
    <w:basedOn w:val="435"/>
    <w:uiPriority w:val="99"/>
    <w:rPr>
      <w:color w:val="404040"/>
      <w:sz w:val="20"/>
      <w:szCs w:val="20"/>
    </w:rPr>
    <w:tblPr>
      <w:tblStyleRowBandSize w:val="1"/>
      <w:tblStyleColBandSize w:val="1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auto" w:fill="DAEEF3"/>
      </w:tcPr>
    </w:tblStylePr>
    <w:tblStylePr w:type="band2Vert">
      <w:rPr>
        <w:color w:val="404040"/>
        <w:sz w:val="22"/>
      </w:rPr>
      <w:tcPr>
        <w:shd w:val="clear" w:color="auto" w:fill="DAEEF3"/>
      </w:tcPr>
    </w:tblStylePr>
    <w:tblStylePr w:type="firstCol">
      <w:rPr>
        <w:color w:val="F2F2F2"/>
        <w:sz w:val="22"/>
      </w:rPr>
      <w:tcPr>
        <w:shd w:val="clear" w:color="auto" w:fill="4BACC6"/>
      </w:tcPr>
    </w:tblStylePr>
    <w:tblStylePr w:type="firstRow">
      <w:rPr>
        <w:color w:val="F2F2F2"/>
        <w:sz w:val="22"/>
      </w:rPr>
      <w:tcPr>
        <w:shd w:val="clear" w:color="auto" w:fill="4BACC6"/>
      </w:tcPr>
    </w:tblStylePr>
    <w:tblStylePr w:type="lastCol">
      <w:rPr>
        <w:color w:val="F2F2F2"/>
        <w:sz w:val="22"/>
      </w:rPr>
      <w:tcPr>
        <w:shd w:val="clear" w:color="auto" w:fill="4BACC6"/>
      </w:tcPr>
    </w:tblStylePr>
    <w:tblStylePr w:type="lastRow">
      <w:rPr>
        <w:color w:val="F2F2F2"/>
        <w:sz w:val="22"/>
      </w:rPr>
      <w:tcPr>
        <w:shd w:val="clear" w:color="auto" w:fill="4BACC6"/>
      </w:tcPr>
    </w:tblStylePr>
  </w:style>
  <w:style w:type="table" w:styleId="639" w:customStyle="1">
    <w:name w:val="Lined - Accent 6"/>
    <w:basedOn w:val="435"/>
    <w:uiPriority w:val="99"/>
    <w:rPr>
      <w:color w:val="404040"/>
      <w:sz w:val="20"/>
      <w:szCs w:val="20"/>
    </w:rPr>
    <w:tblPr>
      <w:tblStyleRowBandSize w:val="1"/>
      <w:tblStyleColBandSize w:val="1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auto" w:fill="FDE9D9"/>
      </w:tcPr>
    </w:tblStylePr>
    <w:tblStylePr w:type="band2Vert">
      <w:rPr>
        <w:color w:val="404040"/>
        <w:sz w:val="22"/>
      </w:rPr>
      <w:tcPr>
        <w:shd w:val="clear" w:color="auto" w:fill="FDE9D9"/>
      </w:tcPr>
    </w:tblStylePr>
    <w:tblStylePr w:type="firstCol">
      <w:rPr>
        <w:color w:val="F2F2F2"/>
        <w:sz w:val="22"/>
      </w:rPr>
      <w:tcPr>
        <w:shd w:val="clear" w:color="auto" w:fill="F79646"/>
      </w:tcPr>
    </w:tblStylePr>
    <w:tblStylePr w:type="firstRow">
      <w:rPr>
        <w:color w:val="F2F2F2"/>
        <w:sz w:val="22"/>
      </w:rPr>
      <w:tcPr>
        <w:shd w:val="clear" w:color="auto" w:fill="F79646"/>
      </w:tcPr>
    </w:tblStylePr>
    <w:tblStylePr w:type="lastCol">
      <w:rPr>
        <w:color w:val="F2F2F2"/>
        <w:sz w:val="22"/>
      </w:rPr>
      <w:tcPr>
        <w:shd w:val="clear" w:color="auto" w:fill="F79646"/>
      </w:tcPr>
    </w:tblStylePr>
    <w:tblStylePr w:type="lastRow">
      <w:rPr>
        <w:color w:val="F2F2F2"/>
        <w:sz w:val="22"/>
      </w:rPr>
      <w:tcPr>
        <w:shd w:val="clear" w:color="auto" w:fill="F79646"/>
      </w:tcPr>
    </w:tblStylePr>
  </w:style>
  <w:style w:type="table" w:styleId="640" w:customStyle="1">
    <w:name w:val="Bordered"/>
    <w:basedOn w:val="435"/>
    <w:uiPriority w:val="99"/>
    <w:tblPr>
      <w:tblStyleRowBandSize w:val="1"/>
      <w:tblStyleColBandSize w:val="1"/>
      <w:tblBorders>
        <w:left w:val="single" w:color="D9D9D9" w:sz="4" w:space="0"/>
        <w:top w:val="single" w:color="D9D9D9" w:sz="4" w:space="0"/>
        <w:right w:val="single" w:color="D9D9D9" w:sz="4" w:space="0"/>
        <w:bottom w:val="single" w:color="D9D9D9" w:sz="4" w:space="0"/>
        <w:insideV w:val="single" w:color="D9D9D9" w:sz="4" w:space="0"/>
        <w:insideH w:val="single" w:color="D9D9D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  <w:tcPr>
        <w:tcBorders>
          <w:left w:val="single" w:color="D9D9D9" w:sz="4" w:space="0"/>
          <w:top w:val="single" w:color="D9D9D9" w:sz="4" w:space="0"/>
          <w:right w:val="single" w:color="D9D9D9" w:sz="4" w:space="0"/>
          <w:bottom w:val="single" w:color="D9D9D9" w:sz="4" w:space="0"/>
        </w:tcBorders>
      </w:tcPr>
    </w:tblStylePr>
    <w:tblStylePr w:type="firstCol">
      <w:rPr>
        <w:color w:val="404040"/>
        <w:sz w:val="22"/>
      </w:rPr>
      <w:tcPr>
        <w:tcBorders>
          <w:right w:val="single" w:color="7F7F7F" w:sz="12" w:space="0"/>
        </w:tcBorders>
      </w:tcPr>
    </w:tblStylePr>
    <w:tblStylePr w:type="firstRow">
      <w:rPr>
        <w:color w:val="404040"/>
        <w:sz w:val="22"/>
      </w:rPr>
      <w:tcPr>
        <w:tcBorders>
          <w:bottom w:val="single" w:color="7F7F7F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7F7F7F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7F7F7F" w:sz="12" w:space="0"/>
        </w:tcBorders>
      </w:tcPr>
    </w:tblStylePr>
  </w:style>
  <w:style w:type="table" w:styleId="641" w:customStyle="1">
    <w:name w:val="Bordered - Accent 1"/>
    <w:basedOn w:val="435"/>
    <w:uiPriority w:val="99"/>
    <w:tblPr>
      <w:tblStyleRowBandSize w:val="1"/>
      <w:tblStyleColBandSize w:val="1"/>
      <w:tblBorders>
        <w:left w:val="single" w:color="B8CCE4" w:sz="4" w:space="0"/>
        <w:top w:val="single" w:color="B8CCE4" w:sz="4" w:space="0"/>
        <w:right w:val="single" w:color="B8CCE4" w:sz="4" w:space="0"/>
        <w:bottom w:val="single" w:color="B8CCE4" w:sz="4" w:space="0"/>
        <w:insideV w:val="single" w:color="B8CCE4" w:sz="4" w:space="0"/>
        <w:insideH w:val="single" w:color="B8CCE4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  <w:tcPr>
        <w:tcBorders>
          <w:left w:val="single" w:color="B8CCE4" w:sz="4" w:space="0"/>
          <w:top w:val="single" w:color="B8CCE4" w:sz="4" w:space="0"/>
          <w:right w:val="single" w:color="B8CCE4" w:sz="4" w:space="0"/>
          <w:bottom w:val="single" w:color="B8CCE4" w:sz="4" w:space="0"/>
        </w:tcBorders>
      </w:tcPr>
    </w:tblStylePr>
    <w:tblStylePr w:type="firstCol">
      <w:rPr>
        <w:color w:val="404040"/>
        <w:sz w:val="22"/>
      </w:rPr>
      <w:tcPr>
        <w:tcBorders>
          <w:right w:val="single" w:color="4F81BD" w:sz="12" w:space="0"/>
        </w:tcBorders>
      </w:tcPr>
    </w:tblStylePr>
    <w:tblStylePr w:type="firstRow">
      <w:rPr>
        <w:color w:val="404040"/>
        <w:sz w:val="22"/>
      </w:rPr>
      <w:tcPr>
        <w:tcBorders>
          <w:bottom w:val="single" w:color="4F81BD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4F81BD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4F81BD" w:sz="12" w:space="0"/>
        </w:tcBorders>
      </w:tcPr>
    </w:tblStylePr>
  </w:style>
  <w:style w:type="table" w:styleId="642" w:customStyle="1">
    <w:name w:val="Bordered - Accent 2"/>
    <w:basedOn w:val="435"/>
    <w:uiPriority w:val="99"/>
    <w:tblPr>
      <w:tblStyleRowBandSize w:val="1"/>
      <w:tblStyleColBandSize w:val="1"/>
      <w:tblBorders>
        <w:left w:val="single" w:color="E5B8B7" w:sz="4" w:space="0"/>
        <w:top w:val="single" w:color="E5B8B7" w:sz="4" w:space="0"/>
        <w:right w:val="single" w:color="E5B8B7" w:sz="4" w:space="0"/>
        <w:bottom w:val="single" w:color="E5B8B7" w:sz="4" w:space="0"/>
        <w:insideV w:val="single" w:color="E5B8B7" w:sz="4" w:space="0"/>
        <w:insideH w:val="single" w:color="E5B8B7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  <w:tcPr>
        <w:tcBorders>
          <w:left w:val="single" w:color="E5B8B7" w:sz="4" w:space="0"/>
          <w:top w:val="single" w:color="E5B8B7" w:sz="4" w:space="0"/>
          <w:right w:val="single" w:color="E5B8B7" w:sz="4" w:space="0"/>
          <w:bottom w:val="single" w:color="E5B8B7" w:sz="4" w:space="0"/>
        </w:tcBorders>
      </w:tcPr>
    </w:tblStylePr>
    <w:tblStylePr w:type="firstCol">
      <w:rPr>
        <w:color w:val="404040"/>
        <w:sz w:val="22"/>
      </w:rPr>
      <w:tcPr>
        <w:tcBorders>
          <w:right w:val="single" w:color="D99594" w:sz="12" w:space="0"/>
        </w:tcBorders>
      </w:tcPr>
    </w:tblStylePr>
    <w:tblStylePr w:type="firstRow">
      <w:rPr>
        <w:color w:val="404040"/>
        <w:sz w:val="22"/>
      </w:rPr>
      <w:tcPr>
        <w:tcBorders>
          <w:bottom w:val="single" w:color="D99594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D99594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D99594" w:sz="12" w:space="0"/>
        </w:tcBorders>
      </w:tcPr>
    </w:tblStylePr>
  </w:style>
  <w:style w:type="table" w:styleId="643" w:customStyle="1">
    <w:name w:val="Bordered - Accent 3"/>
    <w:basedOn w:val="435"/>
    <w:uiPriority w:val="99"/>
    <w:tblPr>
      <w:tblStyleRowBandSize w:val="1"/>
      <w:tblStyleColBandSize w:val="1"/>
      <w:tblBorders>
        <w:left w:val="single" w:color="D6E3BC" w:sz="4" w:space="0"/>
        <w:top w:val="single" w:color="D6E3BC" w:sz="4" w:space="0"/>
        <w:right w:val="single" w:color="D6E3BC" w:sz="4" w:space="0"/>
        <w:bottom w:val="single" w:color="D6E3BC" w:sz="4" w:space="0"/>
        <w:insideV w:val="single" w:color="D6E3BC" w:sz="4" w:space="0"/>
        <w:insideH w:val="single" w:color="D6E3BC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  <w:tcPr>
        <w:tcBorders>
          <w:left w:val="single" w:color="D6E3BC" w:sz="4" w:space="0"/>
          <w:top w:val="single" w:color="D6E3BC" w:sz="4" w:space="0"/>
          <w:right w:val="single" w:color="D6E3BC" w:sz="4" w:space="0"/>
          <w:bottom w:val="single" w:color="D6E3BC" w:sz="4" w:space="0"/>
        </w:tcBorders>
      </w:tcPr>
    </w:tblStylePr>
    <w:tblStylePr w:type="firstCol">
      <w:rPr>
        <w:color w:val="404040"/>
        <w:sz w:val="22"/>
      </w:rPr>
      <w:tcPr>
        <w:tcBorders>
          <w:right w:val="single" w:color="C2D69B" w:sz="12" w:space="0"/>
        </w:tcBorders>
      </w:tcPr>
    </w:tblStylePr>
    <w:tblStylePr w:type="firstRow">
      <w:rPr>
        <w:color w:val="404040"/>
        <w:sz w:val="22"/>
      </w:rPr>
      <w:tcPr>
        <w:tcBorders>
          <w:bottom w:val="single" w:color="C2D69B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C2D69B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C2D69B" w:sz="12" w:space="0"/>
        </w:tcBorders>
      </w:tcPr>
    </w:tblStylePr>
  </w:style>
  <w:style w:type="table" w:styleId="644" w:customStyle="1">
    <w:name w:val="Bordered - Accent 4"/>
    <w:basedOn w:val="435"/>
    <w:uiPriority w:val="99"/>
    <w:tblPr>
      <w:tblStyleRowBandSize w:val="1"/>
      <w:tblStyleColBandSize w:val="1"/>
      <w:tblBorders>
        <w:left w:val="single" w:color="CCC0D9" w:sz="4" w:space="0"/>
        <w:top w:val="single" w:color="CCC0D9" w:sz="4" w:space="0"/>
        <w:right w:val="single" w:color="CCC0D9" w:sz="4" w:space="0"/>
        <w:bottom w:val="single" w:color="CCC0D9" w:sz="4" w:space="0"/>
        <w:insideV w:val="single" w:color="CCC0D9" w:sz="4" w:space="0"/>
        <w:insideH w:val="single" w:color="CCC0D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  <w:tcPr>
        <w:tcBorders>
          <w:left w:val="single" w:color="CCC0D9" w:sz="4" w:space="0"/>
          <w:top w:val="single" w:color="CCC0D9" w:sz="4" w:space="0"/>
          <w:right w:val="single" w:color="CCC0D9" w:sz="4" w:space="0"/>
          <w:bottom w:val="single" w:color="CCC0D9" w:sz="4" w:space="0"/>
        </w:tcBorders>
      </w:tcPr>
    </w:tblStylePr>
    <w:tblStylePr w:type="firstCol">
      <w:rPr>
        <w:color w:val="404040"/>
        <w:sz w:val="22"/>
      </w:rPr>
      <w:tcPr>
        <w:tcBorders>
          <w:right w:val="single" w:color="B2A1C7" w:sz="12" w:space="0"/>
        </w:tcBorders>
      </w:tcPr>
    </w:tblStylePr>
    <w:tblStylePr w:type="firstRow">
      <w:rPr>
        <w:color w:val="404040"/>
        <w:sz w:val="22"/>
      </w:rPr>
      <w:tcPr>
        <w:tcBorders>
          <w:bottom w:val="single" w:color="B2A1C7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B2A1C7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B2A1C7" w:sz="12" w:space="0"/>
        </w:tcBorders>
      </w:tcPr>
    </w:tblStylePr>
  </w:style>
  <w:style w:type="table" w:styleId="645" w:customStyle="1">
    <w:name w:val="Bordered - Accent 5"/>
    <w:basedOn w:val="435"/>
    <w:uiPriority w:val="99"/>
    <w:tblPr>
      <w:tblStyleRowBandSize w:val="1"/>
      <w:tblStyleColBandSize w:val="1"/>
      <w:tblBorders>
        <w:left w:val="single" w:color="B6DDE8" w:sz="4" w:space="0"/>
        <w:top w:val="single" w:color="B6DDE8" w:sz="4" w:space="0"/>
        <w:right w:val="single" w:color="B6DDE8" w:sz="4" w:space="0"/>
        <w:bottom w:val="single" w:color="B6DDE8" w:sz="4" w:space="0"/>
        <w:insideV w:val="single" w:color="B6DDE8" w:sz="4" w:space="0"/>
        <w:insideH w:val="single" w:color="B6DDE8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  <w:tcPr>
        <w:tcBorders>
          <w:left w:val="single" w:color="B6DDE8" w:sz="4" w:space="0"/>
          <w:top w:val="single" w:color="B6DDE8" w:sz="4" w:space="0"/>
          <w:right w:val="single" w:color="B6DDE8" w:sz="4" w:space="0"/>
          <w:bottom w:val="single" w:color="B6DDE8" w:sz="4" w:space="0"/>
        </w:tcBorders>
      </w:tcPr>
    </w:tblStylePr>
    <w:tblStylePr w:type="firstCol">
      <w:rPr>
        <w:color w:val="404040"/>
        <w:sz w:val="22"/>
      </w:rPr>
      <w:tcPr>
        <w:tcBorders>
          <w:right w:val="single" w:color="92CDDC" w:sz="12" w:space="0"/>
        </w:tcBorders>
      </w:tcPr>
    </w:tblStylePr>
    <w:tblStylePr w:type="firstRow">
      <w:rPr>
        <w:color w:val="404040"/>
        <w:sz w:val="22"/>
      </w:rPr>
      <w:tcPr>
        <w:tcBorders>
          <w:bottom w:val="single" w:color="92CDDC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92CDDC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92CDDC" w:sz="12" w:space="0"/>
        </w:tcBorders>
      </w:tcPr>
    </w:tblStylePr>
  </w:style>
  <w:style w:type="table" w:styleId="646" w:customStyle="1">
    <w:name w:val="Bordered - Accent 6"/>
    <w:basedOn w:val="435"/>
    <w:uiPriority w:val="99"/>
    <w:tblPr>
      <w:tblStyleRowBandSize w:val="1"/>
      <w:tblStyleColBandSize w:val="1"/>
      <w:tblBorders>
        <w:left w:val="single" w:color="FBD4B4" w:sz="4" w:space="0"/>
        <w:top w:val="single" w:color="FBD4B4" w:sz="4" w:space="0"/>
        <w:right w:val="single" w:color="FBD4B4" w:sz="4" w:space="0"/>
        <w:bottom w:val="single" w:color="FBD4B4" w:sz="4" w:space="0"/>
        <w:insideV w:val="single" w:color="FBD4B4" w:sz="4" w:space="0"/>
        <w:insideH w:val="single" w:color="FBD4B4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  <w:tcPr>
        <w:tcBorders>
          <w:left w:val="single" w:color="FBD4B4" w:sz="4" w:space="0"/>
          <w:top w:val="single" w:color="FBD4B4" w:sz="4" w:space="0"/>
          <w:right w:val="single" w:color="FBD4B4" w:sz="4" w:space="0"/>
          <w:bottom w:val="single" w:color="FBD4B4" w:sz="4" w:space="0"/>
        </w:tcBorders>
      </w:tcPr>
    </w:tblStylePr>
    <w:tblStylePr w:type="firstCol">
      <w:rPr>
        <w:color w:val="404040"/>
        <w:sz w:val="22"/>
      </w:rPr>
      <w:tcPr>
        <w:tcBorders>
          <w:right w:val="single" w:color="FABF8F" w:sz="12" w:space="0"/>
        </w:tcBorders>
      </w:tcPr>
    </w:tblStylePr>
    <w:tblStylePr w:type="firstRow">
      <w:rPr>
        <w:color w:val="404040"/>
        <w:sz w:val="22"/>
      </w:rPr>
      <w:tcPr>
        <w:tcBorders>
          <w:bottom w:val="single" w:color="FABF8F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FABF8F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FABF8F" w:sz="12" w:space="0"/>
        </w:tcBorders>
      </w:tcPr>
    </w:tblStylePr>
  </w:style>
  <w:style w:type="table" w:styleId="647" w:customStyle="1">
    <w:name w:val="Bordered &amp; Lined"/>
    <w:basedOn w:val="435"/>
    <w:uiPriority w:val="99"/>
    <w:rPr>
      <w:color w:val="404040"/>
      <w:sz w:val="20"/>
      <w:szCs w:val="20"/>
    </w:rPr>
    <w:tblPr>
      <w:tblStyleRowBandSize w:val="1"/>
      <w:tblStyleColBandSize w:val="1"/>
      <w:tblBorders>
        <w:left w:val="single" w:color="595959" w:sz="4" w:space="0"/>
        <w:top w:val="single" w:color="595959" w:sz="4" w:space="0"/>
        <w:right w:val="single" w:color="595959" w:sz="4" w:space="0"/>
        <w:bottom w:val="single" w:color="595959" w:sz="4" w:space="0"/>
        <w:insideV w:val="single" w:color="595959" w:sz="4" w:space="0"/>
        <w:insideH w:val="single" w:color="59595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auto" w:fill="F2F2F2"/>
      </w:tcPr>
    </w:tblStylePr>
    <w:tblStylePr w:type="band2Vert">
      <w:rPr>
        <w:color w:val="404040"/>
        <w:sz w:val="22"/>
      </w:rPr>
      <w:tcPr>
        <w:shd w:val="clear" w:color="auto" w:fill="D9D9D9"/>
      </w:tcPr>
    </w:tblStylePr>
    <w:tblStylePr w:type="firstCol">
      <w:rPr>
        <w:color w:val="F2F2F2"/>
        <w:sz w:val="22"/>
      </w:rPr>
      <w:tcPr>
        <w:shd w:val="clear" w:color="auto" w:fill="7F7F7F"/>
      </w:tcPr>
    </w:tblStylePr>
    <w:tblStylePr w:type="firstRow">
      <w:rPr>
        <w:color w:val="F2F2F2"/>
        <w:sz w:val="22"/>
      </w:rPr>
      <w:tcPr>
        <w:shd w:val="clear" w:color="auto" w:fill="7F7F7F"/>
      </w:tcPr>
    </w:tblStylePr>
    <w:tblStylePr w:type="lastCol">
      <w:rPr>
        <w:color w:val="F2F2F2"/>
        <w:sz w:val="22"/>
      </w:rPr>
      <w:tcPr>
        <w:shd w:val="clear" w:color="auto" w:fill="7F7F7F"/>
      </w:tcPr>
    </w:tblStylePr>
    <w:tblStylePr w:type="lastRow">
      <w:rPr>
        <w:color w:val="F2F2F2"/>
        <w:sz w:val="22"/>
      </w:rPr>
      <w:tcPr>
        <w:shd w:val="clear" w:color="auto" w:fill="7F7F7F"/>
      </w:tcPr>
    </w:tblStylePr>
  </w:style>
  <w:style w:type="table" w:styleId="648" w:customStyle="1">
    <w:name w:val="Bordered &amp; Lined - Accent 1"/>
    <w:basedOn w:val="435"/>
    <w:uiPriority w:val="99"/>
    <w:rPr>
      <w:color w:val="404040"/>
      <w:sz w:val="20"/>
      <w:szCs w:val="20"/>
    </w:rPr>
    <w:tblPr>
      <w:tblStyleRowBandSize w:val="1"/>
      <w:tblStyleColBandSize w:val="1"/>
      <w:tblBorders>
        <w:left w:val="single" w:color="1F497D" w:sz="4" w:space="0"/>
        <w:top w:val="single" w:color="1F497D" w:sz="4" w:space="0"/>
        <w:right w:val="single" w:color="1F497D" w:sz="4" w:space="0"/>
        <w:bottom w:val="single" w:color="1F497D" w:sz="4" w:space="0"/>
        <w:insideV w:val="single" w:color="1F497D" w:sz="4" w:space="0"/>
        <w:insideH w:val="single" w:color="1F497D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auto" w:fill="C6D9F1"/>
      </w:tcPr>
    </w:tblStylePr>
    <w:tblStylePr w:type="band2Vert">
      <w:rPr>
        <w:color w:val="404040"/>
        <w:sz w:val="22"/>
      </w:rPr>
      <w:tcPr>
        <w:shd w:val="clear" w:color="auto" w:fill="C6D9F1"/>
      </w:tcPr>
    </w:tblStylePr>
    <w:tblStylePr w:type="firstCol">
      <w:rPr>
        <w:color w:val="F2F2F2"/>
        <w:sz w:val="22"/>
      </w:rPr>
      <w:tcPr>
        <w:shd w:val="clear" w:color="auto" w:fill="548DD4"/>
      </w:tcPr>
    </w:tblStylePr>
    <w:tblStylePr w:type="firstRow">
      <w:rPr>
        <w:color w:val="F2F2F2"/>
        <w:sz w:val="22"/>
      </w:rPr>
      <w:tcPr>
        <w:shd w:val="clear" w:color="auto" w:fill="548DD4"/>
      </w:tcPr>
    </w:tblStylePr>
    <w:tblStylePr w:type="lastCol">
      <w:rPr>
        <w:color w:val="F2F2F2"/>
        <w:sz w:val="22"/>
      </w:rPr>
      <w:tcPr>
        <w:shd w:val="clear" w:color="auto" w:fill="548DD4"/>
      </w:tcPr>
    </w:tblStylePr>
    <w:tblStylePr w:type="lastRow">
      <w:rPr>
        <w:color w:val="F2F2F2"/>
        <w:sz w:val="22"/>
      </w:rPr>
      <w:tcPr>
        <w:shd w:val="clear" w:color="auto" w:fill="548DD4"/>
      </w:tcPr>
    </w:tblStylePr>
  </w:style>
  <w:style w:type="table" w:styleId="649" w:customStyle="1">
    <w:name w:val="Bordered &amp; Lined - Accent 2"/>
    <w:basedOn w:val="435"/>
    <w:uiPriority w:val="99"/>
    <w:rPr>
      <w:color w:val="404040"/>
      <w:sz w:val="20"/>
      <w:szCs w:val="20"/>
    </w:rPr>
    <w:tblPr>
      <w:tblStyleRowBandSize w:val="1"/>
      <w:tblStyleColBandSize w:val="1"/>
      <w:tblBorders>
        <w:left w:val="single" w:color="C0504D" w:sz="4" w:space="0"/>
        <w:top w:val="single" w:color="C0504D" w:sz="4" w:space="0"/>
        <w:right w:val="single" w:color="C0504D" w:sz="4" w:space="0"/>
        <w:bottom w:val="single" w:color="C0504D" w:sz="4" w:space="0"/>
        <w:insideV w:val="single" w:color="C0504D" w:sz="4" w:space="0"/>
        <w:insideH w:val="single" w:color="C0504D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auto" w:fill="F2DBDB"/>
      </w:tcPr>
    </w:tblStylePr>
    <w:tblStylePr w:type="band2Vert">
      <w:rPr>
        <w:color w:val="404040"/>
        <w:sz w:val="22"/>
      </w:rPr>
      <w:tcPr>
        <w:shd w:val="clear" w:color="auto" w:fill="F2DBDB"/>
      </w:tcPr>
    </w:tblStylePr>
    <w:tblStylePr w:type="firstCol">
      <w:rPr>
        <w:color w:val="F2F2F2"/>
        <w:sz w:val="22"/>
      </w:rPr>
      <w:tcPr>
        <w:shd w:val="clear" w:color="auto" w:fill="D99594"/>
      </w:tcPr>
    </w:tblStylePr>
    <w:tblStylePr w:type="firstRow">
      <w:rPr>
        <w:color w:val="F2F2F2"/>
        <w:sz w:val="22"/>
      </w:rPr>
      <w:tcPr>
        <w:shd w:val="clear" w:color="auto" w:fill="D99594"/>
      </w:tcPr>
    </w:tblStylePr>
    <w:tblStylePr w:type="lastCol">
      <w:rPr>
        <w:color w:val="F2F2F2"/>
        <w:sz w:val="22"/>
      </w:rPr>
      <w:tcPr>
        <w:shd w:val="clear" w:color="auto" w:fill="D99594"/>
      </w:tcPr>
    </w:tblStylePr>
    <w:tblStylePr w:type="lastRow">
      <w:rPr>
        <w:color w:val="F2F2F2"/>
        <w:sz w:val="22"/>
      </w:rPr>
      <w:tcPr>
        <w:shd w:val="clear" w:color="auto" w:fill="D99594"/>
      </w:tcPr>
    </w:tblStylePr>
  </w:style>
  <w:style w:type="table" w:styleId="650" w:customStyle="1">
    <w:name w:val="Bordered &amp; Lined - Accent 3"/>
    <w:basedOn w:val="435"/>
    <w:uiPriority w:val="99"/>
    <w:rPr>
      <w:color w:val="404040"/>
      <w:sz w:val="20"/>
      <w:szCs w:val="20"/>
    </w:rPr>
    <w:tblPr>
      <w:tblStyleRowBandSize w:val="1"/>
      <w:tblStyleColBandSize w:val="1"/>
      <w:tblBorders>
        <w:left w:val="single" w:color="76923C" w:sz="4" w:space="0"/>
        <w:top w:val="single" w:color="76923C" w:sz="4" w:space="0"/>
        <w:right w:val="single" w:color="76923C" w:sz="4" w:space="0"/>
        <w:bottom w:val="single" w:color="76923C" w:sz="4" w:space="0"/>
        <w:insideV w:val="single" w:color="76923C" w:sz="4" w:space="0"/>
        <w:insideH w:val="single" w:color="76923C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auto" w:fill="EAF1DD"/>
      </w:tcPr>
    </w:tblStylePr>
    <w:tblStylePr w:type="band2Vert">
      <w:rPr>
        <w:color w:val="404040"/>
        <w:sz w:val="22"/>
      </w:rPr>
      <w:tcPr>
        <w:shd w:val="clear" w:color="auto" w:fill="EAF1DD"/>
      </w:tcPr>
    </w:tblStylePr>
    <w:tblStylePr w:type="firstCol">
      <w:rPr>
        <w:color w:val="F2F2F2"/>
        <w:sz w:val="22"/>
      </w:rPr>
      <w:tcPr>
        <w:shd w:val="clear" w:color="auto" w:fill="9BBB59"/>
      </w:tcPr>
    </w:tblStylePr>
    <w:tblStylePr w:type="firstRow">
      <w:rPr>
        <w:color w:val="F2F2F2"/>
        <w:sz w:val="22"/>
      </w:rPr>
      <w:tcPr>
        <w:shd w:val="clear" w:color="auto" w:fill="9BBB59"/>
      </w:tcPr>
    </w:tblStylePr>
    <w:tblStylePr w:type="lastCol">
      <w:rPr>
        <w:color w:val="F2F2F2"/>
        <w:sz w:val="22"/>
      </w:rPr>
      <w:tcPr>
        <w:shd w:val="clear" w:color="auto" w:fill="9BBB59"/>
      </w:tcPr>
    </w:tblStylePr>
    <w:tblStylePr w:type="lastRow">
      <w:rPr>
        <w:color w:val="F2F2F2"/>
        <w:sz w:val="22"/>
      </w:rPr>
      <w:tcPr>
        <w:shd w:val="clear" w:color="auto" w:fill="9BBB59"/>
      </w:tcPr>
    </w:tblStylePr>
  </w:style>
  <w:style w:type="table" w:styleId="651" w:customStyle="1">
    <w:name w:val="Bordered &amp; Lined - Accent 4"/>
    <w:basedOn w:val="435"/>
    <w:uiPriority w:val="99"/>
    <w:rPr>
      <w:color w:val="404040"/>
      <w:sz w:val="20"/>
      <w:szCs w:val="20"/>
    </w:rPr>
    <w:tblPr>
      <w:tblStyleRowBandSize w:val="1"/>
      <w:tblStyleColBandSize w:val="1"/>
      <w:tblBorders>
        <w:left w:val="single" w:color="8064A2" w:sz="4" w:space="0"/>
        <w:top w:val="single" w:color="8064A2" w:sz="4" w:space="0"/>
        <w:right w:val="single" w:color="8064A2" w:sz="4" w:space="0"/>
        <w:bottom w:val="single" w:color="8064A2" w:sz="4" w:space="0"/>
        <w:insideV w:val="single" w:color="8064A2" w:sz="4" w:space="0"/>
        <w:insideH w:val="single" w:color="8064A2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auto" w:fill="E5DFEC"/>
      </w:tcPr>
    </w:tblStylePr>
    <w:tblStylePr w:type="band2Vert">
      <w:rPr>
        <w:color w:val="404040"/>
        <w:sz w:val="22"/>
      </w:rPr>
      <w:tcPr>
        <w:shd w:val="clear" w:color="auto" w:fill="E5DFEC"/>
      </w:tcPr>
    </w:tblStylePr>
    <w:tblStylePr w:type="firstCol">
      <w:rPr>
        <w:color w:val="F2F2F2"/>
        <w:sz w:val="22"/>
      </w:rPr>
      <w:tcPr>
        <w:shd w:val="clear" w:color="auto" w:fill="B2A1C7"/>
      </w:tcPr>
    </w:tblStylePr>
    <w:tblStylePr w:type="firstRow">
      <w:rPr>
        <w:color w:val="F2F2F2"/>
        <w:sz w:val="22"/>
      </w:rPr>
      <w:tcPr>
        <w:shd w:val="clear" w:color="auto" w:fill="B2A1C7"/>
      </w:tcPr>
    </w:tblStylePr>
    <w:tblStylePr w:type="lastCol">
      <w:rPr>
        <w:color w:val="F2F2F2"/>
        <w:sz w:val="22"/>
      </w:rPr>
      <w:tcPr>
        <w:shd w:val="clear" w:color="auto" w:fill="B2A1C7"/>
      </w:tcPr>
    </w:tblStylePr>
    <w:tblStylePr w:type="lastRow">
      <w:rPr>
        <w:color w:val="F2F2F2"/>
        <w:sz w:val="22"/>
      </w:rPr>
      <w:tcPr>
        <w:shd w:val="clear" w:color="auto" w:fill="B2A1C7"/>
      </w:tcPr>
    </w:tblStylePr>
  </w:style>
  <w:style w:type="table" w:styleId="652" w:customStyle="1">
    <w:name w:val="Bordered &amp; Lined - Accent 5"/>
    <w:basedOn w:val="435"/>
    <w:uiPriority w:val="99"/>
    <w:rPr>
      <w:color w:val="404040"/>
      <w:sz w:val="20"/>
      <w:szCs w:val="20"/>
    </w:rPr>
    <w:tblPr>
      <w:tblStyleRowBandSize w:val="1"/>
      <w:tblStyleColBandSize w:val="1"/>
      <w:tblBorders>
        <w:left w:val="single" w:color="31849B" w:sz="4" w:space="0"/>
        <w:top w:val="single" w:color="31849B" w:sz="4" w:space="0"/>
        <w:right w:val="single" w:color="31849B" w:sz="4" w:space="0"/>
        <w:bottom w:val="single" w:color="31849B" w:sz="4" w:space="0"/>
        <w:insideV w:val="single" w:color="31849B" w:sz="4" w:space="0"/>
        <w:insideH w:val="single" w:color="31849B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auto" w:fill="DAEEF3"/>
      </w:tcPr>
    </w:tblStylePr>
    <w:tblStylePr w:type="band2Vert">
      <w:rPr>
        <w:color w:val="404040"/>
        <w:sz w:val="22"/>
      </w:rPr>
      <w:tcPr>
        <w:shd w:val="clear" w:color="auto" w:fill="DAEEF3"/>
      </w:tcPr>
    </w:tblStylePr>
    <w:tblStylePr w:type="firstCol">
      <w:rPr>
        <w:color w:val="F2F2F2"/>
        <w:sz w:val="22"/>
      </w:rPr>
      <w:tcPr>
        <w:shd w:val="clear" w:color="auto" w:fill="4BACC6"/>
      </w:tcPr>
    </w:tblStylePr>
    <w:tblStylePr w:type="firstRow">
      <w:rPr>
        <w:color w:val="F2F2F2"/>
        <w:sz w:val="22"/>
      </w:rPr>
      <w:tcPr>
        <w:shd w:val="clear" w:color="auto" w:fill="4BACC6"/>
      </w:tcPr>
    </w:tblStylePr>
    <w:tblStylePr w:type="lastCol">
      <w:rPr>
        <w:color w:val="F2F2F2"/>
        <w:sz w:val="22"/>
      </w:rPr>
      <w:tcPr>
        <w:shd w:val="clear" w:color="auto" w:fill="4BACC6"/>
      </w:tcPr>
    </w:tblStylePr>
    <w:tblStylePr w:type="lastRow">
      <w:rPr>
        <w:color w:val="F2F2F2"/>
        <w:sz w:val="22"/>
      </w:rPr>
      <w:tcPr>
        <w:shd w:val="clear" w:color="auto" w:fill="4BACC6"/>
      </w:tcPr>
    </w:tblStylePr>
  </w:style>
  <w:style w:type="table" w:styleId="653" w:customStyle="1">
    <w:name w:val="Bordered &amp; Lined - Accent 6"/>
    <w:basedOn w:val="435"/>
    <w:uiPriority w:val="99"/>
    <w:rPr>
      <w:color w:val="404040"/>
      <w:sz w:val="20"/>
      <w:szCs w:val="20"/>
    </w:rPr>
    <w:tblPr>
      <w:tblStyleRowBandSize w:val="1"/>
      <w:tblStyleColBandSize w:val="1"/>
      <w:tblBorders>
        <w:left w:val="single" w:color="E36C0A" w:sz="4" w:space="0"/>
        <w:top w:val="single" w:color="E36C0A" w:sz="4" w:space="0"/>
        <w:right w:val="single" w:color="E36C0A" w:sz="4" w:space="0"/>
        <w:bottom w:val="single" w:color="E36C0A" w:sz="4" w:space="0"/>
        <w:insideV w:val="single" w:color="E36C0A" w:sz="4" w:space="0"/>
        <w:insideH w:val="single" w:color="E36C0A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auto" w:fill="FDE9D9"/>
      </w:tcPr>
    </w:tblStylePr>
    <w:tblStylePr w:type="band2Vert">
      <w:rPr>
        <w:color w:val="404040"/>
        <w:sz w:val="22"/>
      </w:rPr>
      <w:tcPr>
        <w:shd w:val="clear" w:color="auto" w:fill="FDE9D9"/>
      </w:tcPr>
    </w:tblStylePr>
    <w:tblStylePr w:type="firstCol">
      <w:rPr>
        <w:color w:val="F2F2F2"/>
        <w:sz w:val="22"/>
      </w:rPr>
      <w:tcPr>
        <w:shd w:val="clear" w:color="auto" w:fill="F79646"/>
      </w:tcPr>
    </w:tblStylePr>
    <w:tblStylePr w:type="firstRow">
      <w:rPr>
        <w:color w:val="F2F2F2"/>
        <w:sz w:val="22"/>
      </w:rPr>
      <w:tcPr>
        <w:shd w:val="clear" w:color="auto" w:fill="F79646"/>
      </w:tcPr>
    </w:tblStylePr>
    <w:tblStylePr w:type="lastCol">
      <w:rPr>
        <w:color w:val="F2F2F2"/>
        <w:sz w:val="22"/>
      </w:rPr>
      <w:tcPr>
        <w:shd w:val="clear" w:color="auto" w:fill="F79646"/>
      </w:tcPr>
    </w:tblStylePr>
    <w:tblStylePr w:type="lastRow">
      <w:rPr>
        <w:color w:val="F2F2F2"/>
        <w:sz w:val="22"/>
      </w:rPr>
      <w:tcPr>
        <w:shd w:val="clear" w:color="auto" w:fill="F79646"/>
      </w:tcPr>
    </w:tblStylePr>
  </w:style>
  <w:style w:type="table" w:styleId="654" w:customStyle="1">
    <w:name w:val="Table Normal"/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655" w:customStyle="1">
    <w:name w:val="2"/>
    <w:basedOn w:val="654"/>
    <w:tblPr>
      <w:tblStyleRowBandSize w:val="1"/>
      <w:tblStyleColBandSize w:val="1"/>
      <w:tblCellMar>
        <w:right w:w="70" w:type="dxa"/>
      </w:tblCellMar>
    </w:tblPr>
  </w:style>
  <w:style w:type="table" w:styleId="656" w:customStyle="1">
    <w:name w:val="1"/>
    <w:basedOn w:val="654"/>
    <w:tblPr>
      <w:tblStyleRowBandSize w:val="1"/>
      <w:tblStyleColBandSize w:val="1"/>
      <w:tblCellMar>
        <w:left w:w="88" w:type="dxa"/>
        <w:right w:w="108" w:type="dxa"/>
      </w:tblCellMar>
    </w:tblPr>
  </w:style>
  <w:style w:type="paragraph" w:styleId="657" w:customStyle="1">
    <w:name w:val="Paragraphe courant"/>
    <w:basedOn w:val="424"/>
    <w:rPr>
      <w:color w:val="auto"/>
      <w:sz w:val="20"/>
      <w:szCs w:val="20"/>
    </w:rPr>
  </w:style>
  <w:style w:type="table" w:styleId="658" w:customStyle="1">
    <w:name w:val="21"/>
    <w:basedOn w:val="654"/>
    <w:pPr>
      <w:pBdr>
        <w:left w:val="none" w:sz="0" w:space="0" w:color="auto"/>
        <w:top w:val="none" w:sz="0" w:space="0" w:color="auto"/>
        <w:right w:val="none" w:sz="0" w:space="0" w:color="auto"/>
        <w:bottom w:val="none" w:sz="0" w:space="0" w:color="auto"/>
        <w:between w:val="none" w:sz="0" w:space="0" w:color="auto"/>
      </w:pBdr>
    </w:pPr>
    <w:tblPr>
      <w:tblStyleRowBandSize w:val="1"/>
      <w:tblStyleColBandSize w:val="1"/>
      <w:tblCellMar>
        <w:right w:w="70" w:type="dxa"/>
      </w:tblCellMar>
    </w:tblPr>
  </w:style>
  <w:style w:type="table" w:styleId="659" w:customStyle="1">
    <w:name w:val="11"/>
    <w:basedOn w:val="654"/>
    <w:pPr>
      <w:pBdr>
        <w:left w:val="none" w:sz="0" w:space="0" w:color="auto"/>
        <w:top w:val="none" w:sz="0" w:space="0" w:color="auto"/>
        <w:right w:val="none" w:sz="0" w:space="0" w:color="auto"/>
        <w:bottom w:val="none" w:sz="0" w:space="0" w:color="auto"/>
        <w:between w:val="none" w:sz="0" w:space="0" w:color="auto"/>
      </w:pBdr>
    </w:pPr>
    <w:tblPr>
      <w:tblStyleRowBandSize w:val="1"/>
      <w:tblStyleColBandSize w:val="1"/>
      <w:tblCellMar>
        <w:left w:w="88" w:type="dxa"/>
        <w:right w:w="108" w:type="dxa"/>
      </w:tblCellMar>
    </w:tblPr>
  </w:style>
  <w:style w:type="character" w:styleId="660" w:customStyle="1">
    <w:name w:val="fontstyle01"/>
    <w:basedOn w:val="434"/>
    <w:rPr>
      <w:rFonts w:ascii="ArialMT" w:hAnsi="ArialMT" w:hint="default"/>
      <w:b w:val="false"/>
      <w:bCs w:val="false"/>
      <w:i w:val="false"/>
      <w:iCs w:val="false"/>
      <w:color w:val="000000"/>
      <w:sz w:val="20"/>
      <w:szCs w:val="20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png"/><Relationship Id="rId11" Type="http://schemas.openxmlformats.org/officeDocument/2006/relationships/oleObject" Target="embeddings/oleObject1.bin"/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ONLYOFFICE/5.5.3.39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CTX</dc:creator>
  <dc:description/>
  <dc:language>fr-FR</dc:language>
  <cp:lastModifiedBy>Didier Ramstein</cp:lastModifiedBy>
  <cp:revision>33</cp:revision>
  <dcterms:created xsi:type="dcterms:W3CDTF">2021-02-19T02:36:00Z</dcterms:created>
  <dcterms:modified xsi:type="dcterms:W3CDTF">2021-12-08T10:08:44Z</dcterms:modified>
</cp:coreProperties>
</file>