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592"/>
        <w:tblW w:w="0" w:type="auto"/>
        <w:tblLook w:val="04A0" w:firstRow="1" w:lastRow="0" w:firstColumn="1" w:lastColumn="0" w:noHBand="0" w:noVBand="1"/>
      </w:tblPr>
      <w:tblGrid>
        <w:gridCol w:w="2329"/>
        <w:gridCol w:w="6731"/>
      </w:tblGrid>
      <w:tr>
        <w:trPr>
          <w:trHeight w:val="1701"/>
        </w:trPr>
        <w:tc>
          <w:tcPr>
            <w:gridSpan w:val="2"/>
            <w:tcW w:w="9062" w:type="dxa"/>
            <w:vAlign w:val="center"/>
            <w:textDirection w:val="lrTb"/>
            <w:noWrap w:val="false"/>
          </w:tcPr>
          <w:p>
            <w:pPr>
              <w:ind w:left="538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  <w:lang w:eastAsia="fr-FR"/>
              </w:rP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56192" behindDoc="1" locked="0" layoutInCell="1" allowOverlap="1">
                      <wp:simplePos x="0" y="0"/>
                      <wp:positionH relativeFrom="column">
                        <wp:posOffset>62229</wp:posOffset>
                      </wp:positionH>
                      <wp:positionV relativeFrom="paragraph">
                        <wp:posOffset>-1269</wp:posOffset>
                      </wp:positionV>
                      <wp:extent cx="3543795" cy="1057422"/>
                      <wp:effectExtent l="0" t="0" r="0" b="9524"/>
                      <wp:wrapNone/>
                      <wp:docPr id="1" name="Image 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Capture.PN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3795" cy="10574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mso-wrap-distance-left:9.0pt;mso-wrap-distance-top:0.0pt;mso-wrap-distance-right:9.0pt;mso-wrap-distance-bottom:0.0pt;z-index:-251656192;o:allowoverlap:true;o:allowincell:true;mso-position-horizontal-relative:text;margin-left:4.9pt;mso-position-horizontal:absolute;mso-position-vertical-relative:text;margin-top:-0.1pt;mso-position-vertical:absolute;width:279.0pt;height:83.3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z w:val="28"/>
                <w:szCs w:val="28"/>
                <w:vertAlign w:val="superscript"/>
              </w:rPr>
              <w:t xml:space="preserve">ER</w:t>
            </w:r>
            <w:r>
              <w:rPr>
                <w:b/>
                <w:sz w:val="28"/>
                <w:szCs w:val="28"/>
              </w:rPr>
              <w:t xml:space="preserve"> </w:t>
            </w:r>
            <w:r/>
          </w:p>
          <w:p>
            <w:pPr>
              <w:ind w:left="538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  <w:r/>
          </w:p>
          <w:p>
            <w:pPr>
              <w:ind w:left="538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MEE</w:t>
            </w:r>
            <w:r/>
          </w:p>
        </w:tc>
      </w:tr>
      <w:tr>
        <w:trPr/>
        <w:tc>
          <w:tcPr>
            <w:gridSpan w:val="2"/>
            <w:tcW w:w="9062" w:type="dxa"/>
            <w:textDirection w:val="lrTb"/>
            <w:noWrap w:val="false"/>
          </w:tcPr>
          <w:p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Les scénarios envisagés suite à l’inventaire pédagogique d’un dossier</w:t>
            </w:r>
            <w:r/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SUPPORT PEDAGOGIQUE</w:t>
            </w:r>
            <w:r/>
          </w:p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Groupe scolaire Germaine TILLON Toulouse</w:t>
            </w:r>
            <w:r/>
          </w:p>
          <w:tbl>
            <w:tblPr>
              <w:tblStyle w:val="592"/>
              <w:tblW w:w="0" w:type="auto"/>
              <w:tblBorders>
                <w:left w:val="none" w:sz="0" w:space="0" w:color="auto"/>
                <w:top w:val="none" w:sz="0" w:space="0" w:color="auto"/>
                <w:right w:val="none" w:sz="0" w:space="0" w:color="auto"/>
                <w:bottom w:val="none" w:sz="0" w:space="0" w:color="auto"/>
                <w:insideV w:val="none" w:sz="0" w:space="0" w:color="auto"/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82"/>
              <w:gridCol w:w="4554"/>
            </w:tblGrid>
            <w:tr>
              <w:trPr/>
              <w:tc>
                <w:tcPr>
                  <w:tcW w:w="4282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rPr>
                      <w:sz w:val="32"/>
                      <w:szCs w:val="32"/>
                    </w:rPr>
                    <w:pBdr>
                      <w:left w:val="none" w:sz="0" w:space="0" w:color="auto"/>
                      <w:top w:val="none" w:sz="0" w:space="0" w:color="auto"/>
                      <w:right w:val="none" w:sz="0" w:space="0" w:color="auto"/>
                      <w:bottom w:val="none" w:sz="0" w:space="0" w:color="auto"/>
                      <w:between w:val="none" w:sz="0" w:space="0" w:color="auto"/>
                    </w:pBdr>
                  </w:pPr>
                  <w:r>
                    <w:rPr>
                      <w:sz w:val="32"/>
                      <w:szCs w:val="32"/>
                    </w:rPr>
                    <w:t xml:space="preserve">Après</w:t>
                  </w:r>
                  <w:r>
                    <w:rPr>
                      <w:sz w:val="32"/>
                      <w:szCs w:val="32"/>
                    </w:rPr>
                    <w:t xml:space="preserve"> la transformation d</w:t>
                  </w:r>
                  <w:r>
                    <w:rPr>
                      <w:sz w:val="32"/>
                      <w:szCs w:val="32"/>
                    </w:rPr>
                    <w:t xml:space="preserve">es espaces « régie matériel 3-6ans et préau », en logement de fonction</w:t>
                  </w:r>
                  <w:r>
                    <w:rPr>
                      <w:sz w:val="32"/>
                      <w:szCs w:val="32"/>
                    </w:rPr>
                    <w:t xml:space="preserve">,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préparer </w:t>
                  </w:r>
                  <w:r>
                    <w:rPr>
                      <w:sz w:val="32"/>
                      <w:szCs w:val="32"/>
                    </w:rPr>
                    <w:t xml:space="preserve">et réaliser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la p</w:t>
                  </w:r>
                  <w:r>
                    <w:rPr>
                      <w:sz w:val="32"/>
                      <w:szCs w:val="32"/>
                    </w:rPr>
                    <w:t xml:space="preserve">ré-mise en service (pour assurer le séchage de la dalle plancher chauffant) puis </w:t>
                  </w:r>
                  <w:r>
                    <w:rPr>
                      <w:sz w:val="32"/>
                      <w:szCs w:val="32"/>
                    </w:rPr>
                    <w:t xml:space="preserve">la </w:t>
                  </w:r>
                  <w:r>
                    <w:rPr>
                      <w:sz w:val="32"/>
                      <w:szCs w:val="32"/>
                    </w:rPr>
                    <w:t xml:space="preserve">mise en service d</w:t>
                  </w:r>
                  <w:r>
                    <w:rPr>
                      <w:sz w:val="32"/>
                      <w:szCs w:val="32"/>
                    </w:rPr>
                    <w:t xml:space="preserve">u système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afin </w:t>
                  </w:r>
                  <w:r>
                    <w:rPr>
                      <w:sz w:val="32"/>
                      <w:szCs w:val="32"/>
                    </w:rPr>
                    <w:t xml:space="preserve">d</w:t>
                  </w:r>
                  <w:r>
                    <w:rPr>
                      <w:sz w:val="32"/>
                      <w:szCs w:val="32"/>
                    </w:rPr>
                    <w:t xml:space="preserve">’optimiser </w:t>
                  </w:r>
                  <w:r>
                    <w:rPr>
                      <w:sz w:val="32"/>
                      <w:szCs w:val="32"/>
                    </w:rPr>
                    <w:t xml:space="preserve">l’efficacité énergétique </w:t>
                  </w:r>
                  <w:r>
                    <w:rPr>
                      <w:sz w:val="32"/>
                      <w:szCs w:val="32"/>
                    </w:rPr>
                    <w:t xml:space="preserve">du logement de fonction.</w:t>
                  </w:r>
                  <w:r/>
                </w:p>
              </w:tc>
              <w:tc>
                <w:tcPr>
                  <w:tcW w:w="4554" w:type="dxa"/>
                  <w:vAlign w:val="center"/>
                  <w:textDirection w:val="lrTb"/>
                  <w:noWrap w:val="false"/>
                </w:tcPr>
                <w:p>
                  <w:pPr>
                    <w:jc w:val="center"/>
                    <w:pBdr>
                      <w:left w:val="none" w:sz="0" w:space="0" w:color="auto"/>
                      <w:top w:val="none" w:sz="0" w:space="0" w:color="auto"/>
                      <w:right w:val="none" w:sz="0" w:space="0" w:color="auto"/>
                      <w:bottom w:val="none" w:sz="0" w:space="0" w:color="auto"/>
                      <w:between w:val="none" w:sz="0" w:space="0" w:color="auto"/>
                    </w:pBdr>
                  </w:pPr>
                  <w:r>
                    <w:rPr>
                      <w:lang w:eastAsia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503121" cy="828709"/>
                            <wp:effectExtent l="0" t="0" r="0" b="0"/>
                            <wp:docPr id="2" name="Image 1" hidden="false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apture.PNG" hidden="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6148" cy="83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mso-wrap-distance-left:0.0pt;mso-wrap-distance-top:0.0pt;mso-wrap-distance-right:0.0pt;mso-wrap-distance-bottom:0.0pt;width:197.1pt;height:65.3pt;" stroked="false">
                            <v:path textboxrect="0,0,0,0"/>
                            <v:imagedata r:id="rId9" o:title=""/>
                          </v:shape>
                        </w:pict>
                      </mc:Fallback>
                    </mc:AlternateContent>
                  </w:r>
                  <w:r/>
                </w:p>
              </w:tc>
            </w:tr>
          </w:tbl>
          <w:p>
            <w:r/>
            <w:r/>
          </w:p>
        </w:tc>
      </w:tr>
      <w:tr>
        <w:trPr/>
        <w:tc>
          <w:tcPr>
            <w:tcW w:w="2329" w:type="dxa"/>
            <w:textDirection w:val="lrTb"/>
            <w:noWrap w:val="false"/>
          </w:tcPr>
          <w:p>
            <w:pPr>
              <w:jc w:val="center"/>
            </w:pPr>
            <w:r>
              <w:t xml:space="preserve">SPECIALITE</w:t>
            </w:r>
            <w:r/>
          </w:p>
        </w:tc>
        <w:tc>
          <w:tcPr>
            <w:shd w:val="clear" w:color="auto" w:fill="BFBFBF" w:themeFill="background1" w:themeFillShade="BF"/>
            <w:tcW w:w="6733" w:type="dxa"/>
            <w:textDirection w:val="lrTb"/>
            <w:noWrap w:val="false"/>
          </w:tcPr>
          <w:p>
            <w:pPr>
              <w:jc w:val="center"/>
            </w:pPr>
            <w:r>
              <w:rPr>
                <w:b/>
              </w:rPr>
              <w:t xml:space="preserve">Baccalauréat professionnel </w:t>
            </w:r>
            <w:r>
              <w:rPr>
                <w:b/>
              </w:rPr>
              <w:t xml:space="preserve">MEE</w:t>
            </w:r>
            <w:r/>
          </w:p>
        </w:tc>
      </w:tr>
      <w:tr>
        <w:trPr/>
        <w:tc>
          <w:tcPr>
            <w:tcW w:w="232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/>
            <w:bookmarkStart w:id="0" w:name="_Hlk88921245"/>
            <w:r>
              <w:t xml:space="preserve">1</w:t>
            </w:r>
            <w:r>
              <w:rPr>
                <w:vertAlign w:val="superscript"/>
              </w:rPr>
              <w:t xml:space="preserve">er</w:t>
            </w:r>
            <w:r>
              <w:t xml:space="preserve"> MEE</w:t>
            </w:r>
            <w:r/>
          </w:p>
        </w:tc>
        <w:tc>
          <w:tcPr>
            <w:shd w:val="clear" w:color="auto" w:fill="FF0000"/>
            <w:tcW w:w="6733" w:type="dxa"/>
            <w:vAlign w:val="center"/>
            <w:textDirection w:val="lrTb"/>
            <w:noWrap w:val="false"/>
          </w:tcPr>
          <w:p>
            <w:pPr>
              <w:ind w:right="-108" w:hanging="180"/>
              <w:jc w:val="center"/>
              <w:shd w:val="clear" w:color="auto" w:fill="7030A0"/>
              <w:rPr>
                <w:b/>
              </w:rPr>
            </w:pPr>
            <w:r>
              <w:rPr>
                <w:b/>
              </w:rPr>
              <w:t xml:space="preserve">M</w:t>
            </w:r>
            <w:r>
              <w:rPr>
                <w:b/>
              </w:rPr>
              <w:t xml:space="preserve">E</w:t>
            </w:r>
            <w:r>
              <w:rPr>
                <w:b/>
              </w:rPr>
              <w:t xml:space="preserve">E</w:t>
            </w:r>
            <w:r/>
          </w:p>
        </w:tc>
      </w:tr>
      <w:tr>
        <w:trPr/>
        <w:tc>
          <w:tcPr>
            <w:tcW w:w="232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auto" w:fill="BFBFBF" w:themeFill="background1" w:themeFillShade="BF"/>
            <w:tcW w:w="6733" w:type="dxa"/>
            <w:textDirection w:val="lrTb"/>
            <w:noWrap w:val="false"/>
          </w:tcPr>
          <w:p>
            <w:pPr>
              <w:jc w:val="center"/>
            </w:pPr>
            <w:r>
              <w:t xml:space="preserve">ELEMENTS D’OUVRAGES ETUDIES</w:t>
            </w:r>
            <w:r/>
          </w:p>
        </w:tc>
      </w:tr>
      <w:tr>
        <w:trPr>
          <w:trHeight w:val="588"/>
        </w:trPr>
        <w:tc>
          <w:tcPr>
            <w:tcW w:w="232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6733" w:type="dxa"/>
            <w:textDirection w:val="lrTb"/>
            <w:noWrap w:val="false"/>
          </w:tcPr>
          <w:p>
            <w:r>
              <w:t xml:space="preserve">Pompe à chaleur double service </w:t>
            </w:r>
            <w:r>
              <w:t xml:space="preserve">alimentant un réseau plancher chauffant et un réseau radiateur</w:t>
            </w:r>
            <w:r>
              <w:t xml:space="preserve">. </w:t>
            </w:r>
            <w:r/>
          </w:p>
        </w:tc>
      </w:tr>
      <w:tr>
        <w:trPr/>
        <w:tc>
          <w:tcPr>
            <w:tcW w:w="2329" w:type="dxa"/>
            <w:textDirection w:val="lrTb"/>
            <w:noWrap w:val="false"/>
          </w:tcPr>
          <w:p>
            <w:r>
              <w:t xml:space="preserve">Compétences travaillées</w:t>
            </w:r>
            <w:r/>
          </w:p>
        </w:tc>
        <w:tc>
          <w:tcPr>
            <w:tcW w:w="6733" w:type="dxa"/>
            <w:textDirection w:val="lrTb"/>
            <w:noWrap w:val="false"/>
          </w:tcPr>
          <w:p>
            <w:pPr>
              <w:pStyle w:val="406"/>
              <w:ind w:left="-107" w:right="141"/>
              <w:rPr>
                <w:color w:val="F79646"/>
                <w:sz w:val="22"/>
                <w:lang w:val="fr-FR"/>
              </w:rPr>
              <w:outlineLvl w:val="7"/>
            </w:pPr>
            <w:r>
              <w:rPr>
                <w:color w:val="F79646" w:themeColor="accent6"/>
                <w:sz w:val="22"/>
                <w:lang w:val="fr-FR"/>
              </w:rPr>
              <w:t xml:space="preserve">Séquence</w:t>
            </w:r>
            <w:r>
              <w:rPr>
                <w:color w:val="F79646" w:themeColor="accent6"/>
                <w:spacing w:val="-3"/>
                <w:sz w:val="22"/>
                <w:lang w:val="fr-FR"/>
              </w:rPr>
              <w:t xml:space="preserve"> </w:t>
            </w:r>
            <w:r>
              <w:rPr>
                <w:color w:val="F79646" w:themeColor="accent6"/>
                <w:sz w:val="22"/>
                <w:lang w:val="fr-FR"/>
              </w:rPr>
              <w:t xml:space="preserve">1</w:t>
            </w:r>
            <w:r>
              <w:rPr>
                <w:color w:val="F79646" w:themeColor="accent6"/>
                <w:spacing w:val="-2"/>
                <w:sz w:val="22"/>
                <w:lang w:val="fr-FR"/>
              </w:rPr>
              <w:t xml:space="preserve"> </w:t>
            </w:r>
            <w:r>
              <w:rPr>
                <w:color w:val="F79646" w:themeColor="accent6"/>
                <w:sz w:val="22"/>
                <w:lang w:val="fr-FR"/>
              </w:rPr>
              <w:t xml:space="preserve">:</w:t>
            </w:r>
            <w:r>
              <w:rPr>
                <w:color w:val="F79646" w:themeColor="accent6"/>
                <w:spacing w:val="-4"/>
                <w:sz w:val="22"/>
                <w:lang w:val="fr-FR"/>
              </w:rPr>
              <w:t xml:space="preserve"> </w:t>
            </w:r>
            <w:r>
              <w:rPr>
                <w:color w:val="F79646" w:themeColor="accent6"/>
                <w:sz w:val="22"/>
                <w:lang w:val="fr-FR"/>
              </w:rPr>
              <w:t xml:space="preserve">Comment</w:t>
            </w:r>
            <w:r>
              <w:rPr>
                <w:color w:val="F79646" w:themeColor="accent6"/>
                <w:spacing w:val="-1"/>
                <w:sz w:val="22"/>
                <w:lang w:val="fr-FR"/>
              </w:rPr>
              <w:t xml:space="preserve"> </w:t>
            </w:r>
            <w:r>
              <w:rPr>
                <w:color w:val="F79646" w:themeColor="accent6"/>
                <w:sz w:val="22"/>
                <w:lang w:val="fr-FR"/>
              </w:rPr>
              <w:t xml:space="preserve">préparer s</w:t>
            </w:r>
            <w:r>
              <w:rPr>
                <w:color w:val="F79646" w:themeColor="accent6"/>
                <w:sz w:val="22"/>
                <w:lang w:val="fr-FR"/>
              </w:rPr>
              <w:t xml:space="preserve">es</w:t>
            </w:r>
            <w:r>
              <w:rPr>
                <w:color w:val="F79646" w:themeColor="accent6"/>
                <w:spacing w:val="-4"/>
                <w:sz w:val="22"/>
                <w:lang w:val="fr-FR"/>
              </w:rPr>
              <w:t xml:space="preserve"> i</w:t>
            </w:r>
            <w:r>
              <w:rPr>
                <w:color w:val="F79646" w:themeColor="accent6"/>
                <w:sz w:val="22"/>
                <w:lang w:val="fr-FR"/>
              </w:rPr>
              <w:t xml:space="preserve">ntervention</w:t>
            </w:r>
            <w:r>
              <w:rPr>
                <w:color w:val="F79646" w:themeColor="accent6"/>
                <w:sz w:val="22"/>
                <w:lang w:val="fr-FR"/>
              </w:rPr>
              <w:t xml:space="preserve">s</w:t>
            </w:r>
            <w:r>
              <w:rPr>
                <w:color w:val="F79646" w:themeColor="accent6"/>
                <w:spacing w:val="3"/>
                <w:sz w:val="22"/>
                <w:lang w:val="fr-FR"/>
              </w:rPr>
              <w:t xml:space="preserve"> </w:t>
            </w:r>
            <w:r>
              <w:rPr>
                <w:color w:val="F79646" w:themeColor="accent6"/>
                <w:sz w:val="22"/>
                <w:lang w:val="fr-FR"/>
              </w:rPr>
              <w:t xml:space="preserve">?</w:t>
            </w:r>
            <w:r>
              <w:rPr>
                <w:color w:val="F79646" w:themeColor="accent6"/>
                <w:sz w:val="22"/>
                <w:lang w:val="fr-FR"/>
              </w:rPr>
              <w:t xml:space="preserve"> (</w:t>
            </w:r>
            <w:r>
              <w:rPr>
                <w:color w:val="F79646" w:themeColor="accent6"/>
                <w:sz w:val="22"/>
                <w:lang w:val="fr-FR"/>
              </w:rPr>
              <w:t xml:space="preserve">Modification</w:t>
            </w:r>
            <w:r>
              <w:rPr>
                <w:color w:val="F79646" w:themeColor="accent6"/>
                <w:sz w:val="22"/>
                <w:lang w:val="fr-FR"/>
              </w:rPr>
              <w:t xml:space="preserve"> d’une installation </w:t>
            </w:r>
            <w:r>
              <w:rPr>
                <w:b w:val="false"/>
                <w:bCs w:val="false"/>
                <w:i/>
                <w:iCs/>
                <w:color w:val="F79646" w:themeColor="accent6"/>
                <w:sz w:val="22"/>
                <w:lang w:val="fr-FR"/>
              </w:rPr>
              <w:t xml:space="preserve">(séance 2)</w:t>
            </w:r>
            <w:r>
              <w:rPr>
                <w:color w:val="F79646" w:themeColor="accent6"/>
                <w:sz w:val="22"/>
                <w:lang w:val="fr-FR"/>
              </w:rPr>
              <w:t xml:space="preserve">, mise en service et exploitation d’une installation </w:t>
            </w:r>
            <w:r>
              <w:rPr>
                <w:b w:val="false"/>
                <w:bCs w:val="false"/>
                <w:i/>
                <w:iCs/>
                <w:color w:val="F79646" w:themeColor="accent6"/>
                <w:sz w:val="22"/>
                <w:lang w:val="fr-FR"/>
              </w:rPr>
              <w:t xml:space="preserve">(séance 3)</w:t>
            </w:r>
            <w:r>
              <w:rPr>
                <w:color w:val="F79646" w:themeColor="accent6"/>
                <w:sz w:val="22"/>
                <w:lang w:val="fr-FR"/>
              </w:rPr>
              <w:t xml:space="preserve">, intervention de maintenance corrective </w:t>
            </w:r>
            <w:r>
              <w:rPr>
                <w:b w:val="false"/>
                <w:bCs w:val="false"/>
                <w:color w:val="F79646" w:themeColor="accent6"/>
                <w:sz w:val="22"/>
                <w:u w:val="single"/>
                <w:lang w:val="fr-FR"/>
              </w:rPr>
              <w:t xml:space="preserve">(séance 4)</w:t>
            </w:r>
            <w:r>
              <w:rPr>
                <w:color w:val="F79646" w:themeColor="accent6"/>
                <w:sz w:val="22"/>
                <w:lang w:val="fr-FR"/>
              </w:rPr>
              <w:t xml:space="preserve">, intervention de maintenance préventive </w:t>
            </w:r>
            <w:r>
              <w:rPr>
                <w:b w:val="false"/>
                <w:bCs w:val="false"/>
                <w:color w:val="F79646" w:themeColor="accent6"/>
                <w:sz w:val="22"/>
                <w:u w:val="single"/>
                <w:lang w:val="fr-FR"/>
              </w:rPr>
              <w:t xml:space="preserve">(Séance5)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C1.1 Collecter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données nécessaires à l’intervention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C1.2 Ordonner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données nécessaires à l’intervention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C1.4 Repérer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contraintes d’environnement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de travail liées à l’intervention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C1.5 Vérifier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la planification de l’intervention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C2.1 Identifier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constituants d’un système énergétique (stockage, production, distribution, émission), de son installation électrique et de son environnement numérique (adressage, mode et paramètres de connexion et d’échanges de données)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C2.2 Déterminer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caractéristiques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des différents éléments de l’installation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C2.3 Identifier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grandeurs physiques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nominales associées à l’installation (températures, pression, puissances, intensités, tensions, …)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C2.4 Identifier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consignes de réglage et de sécurité spécifiques au fonctionnement de l’installation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C2.5 Représenter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tout ou partie d’une installation, manuellement ou avec un outil numérique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C2.6 Identifier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connexions électriques et les raccordements fluidiques d’une installation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C3.1 Déterminer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matériels, les produits et les outillages nécessaires à la réalisation de son intervention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C3.2 Choisir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EPC, les EPI et les EIS adaptés à l’intervention</w:t>
            </w:r>
            <w:r/>
          </w:p>
          <w:p>
            <w:pPr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</w:r>
            <w:r/>
          </w:p>
          <w:p>
            <w:pPr>
              <w:pStyle w:val="406"/>
              <w:ind w:left="-107" w:right="141"/>
              <w:rPr>
                <w:b w:val="false"/>
                <w:bCs w:val="false"/>
                <w:color w:val="F79646"/>
                <w:sz w:val="22"/>
                <w:lang w:val="fr-FR"/>
              </w:rPr>
              <w:outlineLvl w:val="7"/>
            </w:pPr>
            <w:r>
              <w:rPr>
                <w:color w:val="F79646" w:themeColor="accent6"/>
                <w:sz w:val="22"/>
                <w:lang w:val="fr-FR"/>
              </w:rPr>
              <w:t xml:space="preserve">Séquence</w:t>
            </w:r>
            <w:r>
              <w:rPr>
                <w:color w:val="F79646" w:themeColor="accent6"/>
                <w:spacing w:val="-3"/>
                <w:sz w:val="22"/>
                <w:lang w:val="fr-FR"/>
              </w:rPr>
              <w:t xml:space="preserve"> </w:t>
            </w:r>
            <w:r>
              <w:rPr>
                <w:color w:val="F79646" w:themeColor="accent6"/>
                <w:sz w:val="22"/>
                <w:lang w:val="fr-FR"/>
              </w:rPr>
              <w:t xml:space="preserve">2</w:t>
            </w:r>
            <w:r>
              <w:rPr>
                <w:color w:val="F79646" w:themeColor="accent6"/>
                <w:spacing w:val="-2"/>
                <w:sz w:val="22"/>
                <w:lang w:val="fr-FR"/>
              </w:rPr>
              <w:t xml:space="preserve"> </w:t>
            </w:r>
            <w:r>
              <w:rPr>
                <w:color w:val="F79646" w:themeColor="accent6"/>
                <w:sz w:val="22"/>
                <w:lang w:val="fr-FR"/>
              </w:rPr>
              <w:t xml:space="preserve">:</w:t>
            </w:r>
            <w:r>
              <w:rPr>
                <w:color w:val="F79646" w:themeColor="accent6"/>
                <w:spacing w:val="-4"/>
                <w:sz w:val="22"/>
                <w:lang w:val="fr-FR"/>
              </w:rPr>
              <w:t xml:space="preserve"> </w:t>
            </w:r>
            <w:r>
              <w:rPr>
                <w:color w:val="F79646" w:themeColor="accent6"/>
                <w:sz w:val="22"/>
                <w:lang w:val="fr-FR"/>
              </w:rPr>
              <w:t xml:space="preserve">Comment</w:t>
            </w:r>
            <w:r>
              <w:rPr>
                <w:color w:val="F79646" w:themeColor="accent6"/>
                <w:spacing w:val="-1"/>
                <w:sz w:val="22"/>
                <w:lang w:val="fr-FR"/>
              </w:rPr>
              <w:t xml:space="preserve"> </w:t>
            </w:r>
            <w:r>
              <w:rPr>
                <w:color w:val="F79646" w:themeColor="accent6"/>
                <w:sz w:val="22"/>
                <w:lang w:val="fr-FR"/>
              </w:rPr>
              <w:t xml:space="preserve">mettre en œuvre </w:t>
            </w:r>
            <w:r>
              <w:rPr>
                <w:color w:val="F79646" w:themeColor="accent6"/>
                <w:sz w:val="22"/>
                <w:lang w:val="fr-FR"/>
              </w:rPr>
              <w:t xml:space="preserve">la modification d’une </w:t>
            </w:r>
            <w:r>
              <w:rPr>
                <w:color w:val="F79646" w:themeColor="accent6"/>
                <w:sz w:val="22"/>
                <w:lang w:val="fr-FR"/>
              </w:rPr>
              <w:t xml:space="preserve">installation</w:t>
            </w:r>
            <w:r>
              <w:rPr>
                <w:color w:val="F79646" w:themeColor="accent6"/>
                <w:sz w:val="22"/>
                <w:lang w:val="fr-FR"/>
              </w:rPr>
              <w:t xml:space="preserve"> ?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C5.1 Contrôler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la conformité des matériels, des équipements, et des produits livrés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C6.2 Réaliser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les modifications des réseaux fluidiques et les câblages électriques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C6.3 Opérer 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avec une attitude écoresponsable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</w:r>
            <w:r/>
          </w:p>
          <w:p>
            <w:pPr>
              <w:ind w:left="-107" w:right="141"/>
              <w:tabs>
                <w:tab w:val="left" w:pos="5115" w:leader="none"/>
              </w:tabs>
              <w:rPr>
                <w:b/>
                <w:color w:val="F79646"/>
                <w:szCs w:val="24"/>
              </w:rPr>
            </w:pPr>
            <w:r>
              <w:rPr>
                <w:b/>
                <w:bCs/>
                <w:color w:val="001F5F"/>
                <w:szCs w:val="24"/>
              </w:rPr>
              <w:t xml:space="preserve">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Séquence 3 : Comment</w:t>
            </w:r>
            <w:r>
              <w:rPr>
                <w:b/>
                <w:bCs/>
                <w:color w:val="F79646" w:themeColor="accent6"/>
                <w:szCs w:val="24"/>
              </w:rPr>
              <w:t xml:space="preserve"> mettre en service</w:t>
            </w:r>
            <w:r>
              <w:rPr>
                <w:b/>
                <w:bCs/>
                <w:color w:val="F79646" w:themeColor="accent6"/>
                <w:szCs w:val="24"/>
              </w:rPr>
              <w:t xml:space="preserve"> un</w:t>
            </w:r>
            <w:r>
              <w:rPr>
                <w:b/>
                <w:bCs/>
                <w:color w:val="F79646" w:themeColor="accent6"/>
                <w:szCs w:val="24"/>
              </w:rPr>
              <w:t xml:space="preserve">e</w:t>
            </w:r>
            <w:r>
              <w:rPr>
                <w:b/>
                <w:bCs/>
                <w:color w:val="F79646" w:themeColor="accent6"/>
                <w:szCs w:val="24"/>
              </w:rPr>
              <w:t xml:space="preserve">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installation</w:t>
            </w:r>
            <w:r>
              <w:rPr>
                <w:b/>
                <w:bCs/>
                <w:color w:val="F79646" w:themeColor="accent6"/>
                <w:szCs w:val="24"/>
              </w:rPr>
              <w:t xml:space="preserve">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et optimiser son</w:t>
            </w:r>
            <w:r>
              <w:rPr>
                <w:b/>
                <w:bCs/>
                <w:color w:val="F79646" w:themeColor="accent6"/>
                <w:szCs w:val="24"/>
              </w:rPr>
              <w:t xml:space="preserve"> efficacité énergétique ? 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C7.1 Contrôler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la conformité des réalisations sur les réseaux fluidiques et les installations électriques 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C7.2 Appliquer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mesures de prévention des risques professionnels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C7.5 Effectuer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la précharge du réseau fluidique du système et des réseaux de fluides frigorigènes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C7.6 Réaliser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opérations de mise en service et/ou d’arrêt de l’installation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C8.1 Identifier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points de mesures sur l’installation électrique et/ou le réseau fluidique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C8.2 Installer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des appareils de mesures et de contrôle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C8.3 Réaliser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mesures nécessaires pour valider le fonctionnement de l’installation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C8.4 Traiter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informations des mesures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C8.5 Comparer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grandeurs mesurées avec les grandeurs caractéristiques nominales attendues 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C9.1 Compléter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la charge du réseau fluidique et des réseaux de fluides frigorigènes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C9.2 Déterminer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réglages nécessaires pour obtenir le fonctionnement attendu du système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C9.3 Ajuster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réglages des systèmes de régulation et de sécurité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18"/>
                <w:highlight w:val="white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C9.4 Appliquer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règles de sécurité</w:t>
            </w:r>
            <w:r/>
          </w:p>
          <w:p>
            <w:pPr>
              <w:rPr>
                <w:b/>
                <w:color w:val="001F5F"/>
                <w:sz w:val="20"/>
                <w:szCs w:val="20"/>
              </w:rPr>
            </w:pPr>
            <w:r>
              <w:rPr>
                <w:b/>
                <w:color w:val="001F5F"/>
                <w:sz w:val="20"/>
                <w:szCs w:val="20"/>
              </w:rPr>
            </w:r>
            <w:r/>
          </w:p>
          <w:p>
            <w:pPr>
              <w:ind w:left="-107" w:right="141"/>
              <w:tabs>
                <w:tab w:val="left" w:pos="5115" w:leader="none"/>
              </w:tabs>
              <w:rPr>
                <w:b/>
                <w:bCs/>
                <w:color w:val="F79646"/>
                <w:szCs w:val="24"/>
              </w:rPr>
            </w:pPr>
            <w:r>
              <w:rPr>
                <w:b/>
                <w:bCs/>
                <w:color w:val="001F5F"/>
                <w:szCs w:val="24"/>
              </w:rPr>
              <w:t xml:space="preserve">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Séquence 4 : Comment assurer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la réussite d</w:t>
            </w:r>
            <w:r>
              <w:rPr>
                <w:b/>
                <w:bCs/>
                <w:color w:val="F79646" w:themeColor="accent6"/>
                <w:szCs w:val="24"/>
              </w:rPr>
              <w:t xml:space="preserve">’une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intervention de maintenance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corrective ?</w:t>
            </w:r>
            <w:r>
              <w:rPr>
                <w:b/>
                <w:bCs/>
                <w:color w:val="F79646" w:themeColor="accent6"/>
                <w:szCs w:val="24"/>
              </w:rPr>
              <w:t xml:space="preserve"> 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C11.2 Constater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la défaillance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C11.3 Lister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des hypothèses de panne et/ou de dysfonctionnement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C11.4 Vérifier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hypothèses en effectuant des mesures, des contrôles, des tests permettant en respectant les règles de sécurité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C11.5 Identifier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 composant défectueux et/ou la cause de la défaillance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C11.8 Consigner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(déconsigner) le système (électrique, fluidique : gaz, caloporteurs…)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C11.11 Remettre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en service l’installation 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C11.12 Opérer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 traitement des déchets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C12.2 Expliquer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l’état d’avancement des opérations, leurs contraintes et leurs difficultés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C12.3 Compléter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documents techniques et administratifs 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C12.4 Formuler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un compte-rendu, un rapport d’activité</w:t>
            </w:r>
            <w:r/>
          </w:p>
          <w:p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</w:r>
            <w:r/>
          </w:p>
          <w:p>
            <w:pPr>
              <w:rPr>
                <w:b/>
                <w:bCs/>
                <w:color w:val="F79646"/>
                <w:szCs w:val="24"/>
              </w:rPr>
            </w:pPr>
            <w:r>
              <w:rPr>
                <w:b/>
                <w:bCs/>
                <w:color w:val="F79646" w:themeColor="accent6"/>
                <w:szCs w:val="24"/>
              </w:rPr>
              <w:t xml:space="preserve">Séquence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5</w:t>
            </w:r>
            <w:r>
              <w:rPr>
                <w:b/>
                <w:bCs/>
                <w:color w:val="F79646" w:themeColor="accent6"/>
                <w:szCs w:val="24"/>
              </w:rPr>
              <w:t xml:space="preserve"> : Comment assurer la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qualité</w:t>
            </w:r>
            <w:r>
              <w:rPr>
                <w:b/>
                <w:bCs/>
                <w:color w:val="F79646" w:themeColor="accent6"/>
                <w:szCs w:val="24"/>
              </w:rPr>
              <w:t xml:space="preserve"> d’une intervention de maintenance </w:t>
            </w:r>
            <w:r>
              <w:rPr>
                <w:b/>
                <w:bCs/>
                <w:color w:val="F79646" w:themeColor="accent6"/>
                <w:szCs w:val="24"/>
              </w:rPr>
              <w:t xml:space="preserve">préventive et ainsi optimiser l’efficacité énergétique du bâtiment ?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C10.1 Identifier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opérations prédéfinies liées au contrat de maintenance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C10.2 Déterminer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une organisation en fonction de l’environnement de travail et les conditions de la maintenance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C10.3 Contrôler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données d’exploitation (indicateurs, voyants…) par rapport aux attendus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C10.4 Traiter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informations de télémaintenance et celles des applications numériques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C10.5 Réaliser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opérations de maintenance préventive d’ordre technique et réglementaire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C10.6 Contrôler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l’état du système après intervention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C10.7 Opérer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 traitement des déchets 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C13.1 Interpréter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les informations du client et/ou l’exploitant sur ses besoins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C13.2 Expliquer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le fonctionnement et l’utilisation de l’installation au client et/ou à l’exploitant  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C13.3 Informer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oralement des consignes de sécurité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C13.4 Communiquer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avec le client</w:t>
            </w:r>
            <w:r/>
          </w:p>
          <w:p>
            <w:pPr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C13.5 Déterminer</w:t>
            </w:r>
            <w:r>
              <w:rPr>
                <w:rFonts w:ascii="Arial" w:hAnsi="Arial" w:cs="Arial"/>
                <w:bCs/>
                <w:sz w:val="18"/>
                <w:szCs w:val="20"/>
              </w:rPr>
              <w:t xml:space="preserve"> une solution technique pour le client et/ou l’exploitant  </w:t>
            </w:r>
            <w:bookmarkEnd w:id="0"/>
            <w:r/>
          </w:p>
        </w:tc>
      </w:tr>
    </w:tbl>
    <w:p>
      <w:pPr>
        <w:jc w:val="center"/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EXEMPLE D’ACTIVITÉS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PROPOSÉES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EN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FONCTION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DES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OUVRAGES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OU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ESPACES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CIBLÉS</w:t>
      </w:r>
      <w:r/>
    </w:p>
    <w:tbl>
      <w:tblPr>
        <w:tblStyle w:val="592"/>
        <w:tblW w:w="9724" w:type="dxa"/>
        <w:tblLook w:val="04A0" w:firstRow="1" w:lastRow="0" w:firstColumn="1" w:lastColumn="0" w:noHBand="0" w:noVBand="1"/>
      </w:tblPr>
      <w:tblGrid>
        <w:gridCol w:w="4556"/>
        <w:gridCol w:w="1742"/>
        <w:gridCol w:w="3426"/>
      </w:tblGrid>
      <w:tr>
        <w:trPr>
          <w:trHeight w:val="918"/>
        </w:trPr>
        <w:tc>
          <w:tcPr>
            <w:gridSpan w:val="3"/>
            <w:shd w:val="clear" w:color="auto" w:fill="8DB3E2" w:themeFill="text2" w:themeFillTint="66"/>
            <w:tcW w:w="972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Séquence 1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Comment préparer son intervention ?</w:t>
            </w:r>
            <w:r/>
          </w:p>
        </w:tc>
      </w:tr>
      <w:tr>
        <w:trPr>
          <w:trHeight w:val="275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ind w:right="-157" w:hanging="108"/>
              <w:jc w:val="center"/>
              <w:shd w:val="clear" w:color="auto" w:fill="0070C0"/>
              <w:rPr>
                <w:b/>
              </w:rPr>
            </w:pPr>
            <w:r>
              <w:rPr>
                <w:b/>
              </w:rPr>
              <w:t xml:space="preserve">Baccalauréat professionnel </w:t>
            </w:r>
            <w:r>
              <w:rPr>
                <w:b/>
              </w:rPr>
              <w:t xml:space="preserve">MEE</w:t>
            </w:r>
            <w:r/>
          </w:p>
        </w:tc>
      </w:tr>
      <w:tr>
        <w:trPr>
          <w:trHeight w:val="32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jc w:val="center"/>
            </w:pPr>
            <w:r>
              <w:t xml:space="preserve">ELEMENTS D’OUVRAGES ETUDIES</w:t>
            </w:r>
            <w:r/>
          </w:p>
        </w:tc>
      </w:tr>
      <w:tr>
        <w:trPr>
          <w:trHeight w:val="1446"/>
        </w:trPr>
        <w:tc>
          <w:tcPr>
            <w:tcBorders>
              <w:bottom w:val="single" w:color="000000" w:sz="4" w:space="0"/>
            </w:tcBorders>
            <w:tcW w:w="4556" w:type="dxa"/>
            <w:textDirection w:val="lrTb"/>
            <w:noWrap w:val="false"/>
          </w:tcPr>
          <w:p>
            <w:pPr>
              <w:pStyle w:val="544"/>
              <w:jc w:val="both"/>
            </w:pPr>
            <w:r>
              <w:t xml:space="preserve">Préparation</w:t>
            </w:r>
            <w:r>
              <w:t xml:space="preserve"> de deux interventions</w:t>
            </w:r>
            <w:r>
              <w:t xml:space="preserve"> sur PAC </w:t>
            </w:r>
            <w:r>
              <w:t xml:space="preserve">hybride.</w:t>
            </w:r>
            <w:r/>
          </w:p>
          <w:p>
            <w:pPr>
              <w:pStyle w:val="544"/>
              <w:jc w:val="both"/>
            </w:pPr>
            <w:r>
              <w:t xml:space="preserve">La première, après l’obtention du Consuel, est la pré-mise en service pour assurer</w:t>
            </w:r>
            <w:r>
              <w:t xml:space="preserve"> </w:t>
            </w:r>
            <w:r>
              <w:t xml:space="preserve">le séchage de la dalle plancher chauffant (gaz propane uniquement disponible</w:t>
            </w:r>
            <w:r>
              <w:t xml:space="preserve"> : le</w:t>
            </w:r>
            <w:r>
              <w:t xml:space="preserve"> groupe extérieur n’est pas installé</w:t>
            </w:r>
            <w:r>
              <w:t xml:space="preserve"> :</w:t>
            </w:r>
            <w:r>
              <w:t xml:space="preserve"> le maçon n’a pas réalisé la dalle pour la</w:t>
            </w:r>
            <w:r>
              <w:t xml:space="preserve"> </w:t>
            </w:r>
            <w:r>
              <w:t xml:space="preserve">supporter).</w:t>
            </w:r>
            <w:r/>
          </w:p>
          <w:p>
            <w:pPr>
              <w:pStyle w:val="544"/>
              <w:jc w:val="both"/>
            </w:pPr>
            <w:r>
              <w:t xml:space="preserve">L</w:t>
            </w:r>
            <w:r>
              <w:t xml:space="preserve">a seconde est la mise en service définitive de l’installation hybride (PAC,</w:t>
            </w:r>
            <w:r>
              <w:t xml:space="preserve"> </w:t>
            </w:r>
            <w:r>
              <w:t xml:space="preserve">gaz) alimentant un circuit plancher chauffant, un circuit radiateur et assurant la</w:t>
            </w:r>
            <w:r>
              <w:t xml:space="preserve"> </w:t>
            </w:r>
            <w:r>
              <w:t xml:space="preserve">production d’eau chaude sanitaire.</w:t>
            </w:r>
            <w:r/>
          </w:p>
        </w:tc>
        <w:tc>
          <w:tcPr>
            <w:gridSpan w:val="2"/>
            <w:tcBorders>
              <w:bottom w:val="single" w:color="000000" w:sz="4" w:space="0"/>
            </w:tcBorders>
            <w:tcW w:w="51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379095</wp:posOffset>
                      </wp:positionV>
                      <wp:extent cx="858520" cy="803275"/>
                      <wp:effectExtent l="0" t="0" r="17780" b="15875"/>
                      <wp:wrapNone/>
                      <wp:docPr id="3" name="Ellipse 3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8520" cy="803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2" o:spid="_x0000_s2" o:spt="3" style="position:absolute;mso-wrap-distance-left:9.0pt;mso-wrap-distance-top:0.0pt;mso-wrap-distance-right:9.0pt;mso-wrap-distance-bottom:0.0pt;z-index:251674624;o:allowoverlap:true;o:allowincell:true;mso-position-horizontal-relative:text;margin-left:88.6pt;mso-position-horizontal:absolute;mso-position-vertical-relative:text;margin-top:29.8pt;mso-position-vertical:absolute;width:67.6pt;height:63.2pt;" coordsize="100000,100000" path="" filled="f" strokecolor="#FF0000" strokeweight="2.00pt">
                      <v:path textboxrect="0,0,0,0"/>
                    </v:shape>
                  </w:pict>
                </mc:Fallback>
              </mc:AlternateContent>
            </w: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64778" cy="1184563"/>
                      <wp:effectExtent l="0" t="0" r="7620" b="0"/>
                      <wp:docPr id="4" name="Image 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 20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00407" cy="119879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233.4pt;height:93.3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843"/>
        </w:trPr>
        <w:tc>
          <w:tcPr>
            <w:tcW w:w="4556" w:type="dxa"/>
            <w:textDirection w:val="lrTb"/>
            <w:noWrap w:val="false"/>
          </w:tcPr>
          <w:p>
            <w:pPr>
              <w:pStyle w:val="544"/>
              <w:numPr>
                <w:ilvl w:val="0"/>
                <w:numId w:val="4"/>
              </w:numPr>
            </w:pPr>
            <w:r>
              <w:t xml:space="preserve">Décodage du CCTP</w:t>
            </w:r>
            <w:r>
              <w:t xml:space="preserve"> et du planning </w:t>
            </w:r>
            <w:r/>
          </w:p>
          <w:p>
            <w:pPr>
              <w:pStyle w:val="544"/>
              <w:numPr>
                <w:ilvl w:val="0"/>
                <w:numId w:val="4"/>
              </w:numPr>
            </w:pPr>
            <w:r>
              <w:t xml:space="preserve">Consultation de la maquette numérique</w:t>
            </w:r>
            <w:r>
              <w:t xml:space="preserve">.</w:t>
            </w:r>
            <w:r/>
          </w:p>
          <w:p>
            <w:pPr>
              <w:pStyle w:val="544"/>
              <w:numPr>
                <w:ilvl w:val="0"/>
                <w:numId w:val="4"/>
              </w:numPr>
            </w:pPr>
            <w:r>
              <w:t xml:space="preserve">Préparation de</w:t>
            </w:r>
            <w:r>
              <w:t xml:space="preserve">s</w:t>
            </w:r>
            <w:r>
              <w:t xml:space="preserve"> intervention</w:t>
            </w:r>
            <w:r>
              <w:t xml:space="preserve">s</w:t>
            </w:r>
            <w:r/>
          </w:p>
        </w:tc>
        <w:tc>
          <w:tcPr>
            <w:gridSpan w:val="2"/>
            <w:tcW w:w="5168" w:type="dxa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0"/>
        </w:trPr>
        <w:tc>
          <w:tcPr>
            <w:gridSpan w:val="2"/>
            <w:shd w:val="clear" w:color="auto" w:fill="BFBFBF" w:themeFill="background1" w:themeFillShade="BF"/>
            <w:tcW w:w="6298" w:type="dxa"/>
            <w:textDirection w:val="lrTb"/>
            <w:noWrap w:val="false"/>
          </w:tcPr>
          <w:p>
            <w:pPr>
              <w:ind w:left="-107" w:right="-102"/>
              <w:shd w:val="clear" w:color="auto" w:fill="EEECE1" w:themeFill="background2"/>
              <w:tabs>
                <w:tab w:val="left" w:pos="1056" w:leader="none"/>
              </w:tabs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sz w:val="20"/>
              </w:rPr>
              <w:t xml:space="preserve">A1 : PR</w:t>
            </w:r>
            <w:r>
              <w:rPr>
                <w:sz w:val="20"/>
              </w:rPr>
              <w:t xml:space="preserve">É</w:t>
            </w:r>
            <w:r>
              <w:rPr>
                <w:sz w:val="20"/>
              </w:rPr>
              <w:t xml:space="preserve">PARATION DES OP</w:t>
            </w:r>
            <w:r>
              <w:rPr>
                <w:sz w:val="20"/>
              </w:rPr>
              <w:t xml:space="preserve">É</w:t>
            </w:r>
            <w:r>
              <w:rPr>
                <w:sz w:val="20"/>
              </w:rPr>
              <w:t xml:space="preserve">RATIONS A R</w:t>
            </w:r>
            <w:r>
              <w:rPr>
                <w:sz w:val="20"/>
              </w:rPr>
              <w:t xml:space="preserve">É</w:t>
            </w:r>
            <w:r>
              <w:rPr>
                <w:sz w:val="20"/>
              </w:rPr>
              <w:t xml:space="preserve">ALISER</w:t>
            </w:r>
            <w:r/>
          </w:p>
        </w:tc>
        <w:tc>
          <w:tcPr>
            <w:shd w:val="clear" w:color="auto" w:fill="BFBFBF" w:themeFill="background1" w:themeFillShade="BF"/>
            <w:tcW w:w="3426" w:type="dxa"/>
            <w:textDirection w:val="lrTb"/>
            <w:noWrap w:val="false"/>
          </w:tcPr>
          <w:p>
            <w:pPr>
              <w:ind w:left="-107" w:right="-157"/>
              <w:shd w:val="clear" w:color="auto" w:fill="E98B98"/>
              <w:tabs>
                <w:tab w:val="left" w:pos="5115" w:leader="none"/>
              </w:tabs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A4</w:t>
            </w:r>
            <w:r>
              <w:rPr>
                <w:b/>
                <w:bCs/>
                <w:color w:val="001F5F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COMMUNICATION</w:t>
            </w:r>
            <w:r/>
          </w:p>
        </w:tc>
      </w:tr>
      <w:tr>
        <w:trPr>
          <w:trHeight w:val="28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b/>
                <w:bCs/>
                <w:color w:val="001F5F"/>
                <w:sz w:val="20"/>
                <w:szCs w:val="20"/>
              </w:rPr>
            </w:pPr>
            <w:r/>
            <w:bookmarkStart w:id="1" w:name="_Hlk88990273"/>
            <w:r>
              <w:rPr>
                <w:b/>
                <w:bCs/>
                <w:color w:val="001F5F"/>
                <w:sz w:val="20"/>
                <w:szCs w:val="20"/>
              </w:rPr>
              <w:t xml:space="preserve">C1.1 Collecter les données nécessaires à l’intervention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A partir de la maquette </w:t>
            </w:r>
            <w:r>
              <w:t xml:space="preserve">BIM, du</w:t>
            </w:r>
            <w:r>
              <w:t xml:space="preserve"> CCTP et du planning, identifier et collecter les informations </w:t>
            </w:r>
            <w:r>
              <w:t xml:space="preserve">et les contraintes exploitables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C1.2 Ordonner les données nécessaires à l’intervention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</w:t>
            </w:r>
            <w:r>
              <w:t xml:space="preserve">les documents à transmettre à l’interne et à </w:t>
            </w:r>
            <w:r>
              <w:t xml:space="preserve">l’externe.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C1.4 Repérer les contraintes d’environnement de travail liées à l’intervention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les habilitations et certifications nécessaires aux opérations.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C1.5 Vérifier la planification de l’intervention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Vérification de la </w:t>
            </w:r>
            <w:r>
              <w:t xml:space="preserve">planification</w:t>
            </w:r>
            <w:r>
              <w:t xml:space="preserve"> des </w:t>
            </w:r>
            <w:r>
              <w:t xml:space="preserve">i</w:t>
            </w:r>
            <w:r>
              <w:t xml:space="preserve">nterventions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C2.1 Identifier les constituants d’un système énergétique (stockage, production, distribution, émission), de son installation électrique et de son environnement numérique (adressage, mode et paramètres de connexion et d’échanges de données)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Décrire l’organisation du système. Identifier les fonctions principales des éléments. Repérer et identifier les différents équipements hydrauliques et électriques</w:t>
            </w:r>
            <w:r>
              <w:t xml:space="preserve"> sur les schémas de principe.</w:t>
            </w:r>
            <w:r>
              <w:t xml:space="preserve">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C2.3 Identifier les grandeurs physiques nominales associées à l’installation (températures, pression, puissances, intensités, tensions, …)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les températures </w:t>
            </w:r>
            <w:r>
              <w:t xml:space="preserve">de</w:t>
            </w:r>
            <w:r>
              <w:t xml:space="preserve"> </w:t>
            </w:r>
            <w:r>
              <w:t xml:space="preserve">fonctionnement</w:t>
            </w:r>
            <w:r>
              <w:t xml:space="preserve">. Identifier la pression gaz, les tensions, et les diamètres.</w:t>
            </w:r>
            <w:r>
              <w:t xml:space="preserve"> 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C2.4 Identifier les consignes de réglage et de sécurité spécifiques au fonctionnement de l’installation</w:t>
            </w:r>
            <w:r/>
          </w:p>
        </w:tc>
      </w:tr>
      <w:tr>
        <w:trPr>
          <w:trHeight w:val="633"/>
        </w:trPr>
        <w:tc>
          <w:tcPr>
            <w:gridSpan w:val="3"/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Indiquer </w:t>
            </w:r>
            <w:r>
              <w:t xml:space="preserve">en complétant la documentation constructrice, les</w:t>
            </w:r>
            <w:r>
              <w:t xml:space="preserve"> valeurs de consignes </w:t>
            </w:r>
            <w:r>
              <w:t xml:space="preserve">permett</w:t>
            </w:r>
            <w:r>
              <w:t xml:space="preserve">a</w:t>
            </w:r>
            <w:r>
              <w:t xml:space="preserve">nt de prévoir le</w:t>
            </w:r>
            <w:r>
              <w:t xml:space="preserve"> </w:t>
            </w:r>
            <w:r>
              <w:t xml:space="preserve">réglage des appareils pour</w:t>
            </w:r>
            <w:r>
              <w:t xml:space="preserve"> </w:t>
            </w:r>
            <w:r>
              <w:t xml:space="preserve">un fonctionnement</w:t>
            </w:r>
            <w:r>
              <w:t xml:space="preserve"> </w:t>
            </w:r>
            <w:r>
              <w:t xml:space="preserve">conforme de l’installation</w:t>
            </w:r>
            <w:r>
              <w:t xml:space="preserve"> lors du séchage de la dalle</w:t>
            </w:r>
            <w:r>
              <w:t xml:space="preserve">.</w:t>
            </w:r>
            <w:r/>
          </w:p>
          <w:p>
            <w:pPr>
              <w:pStyle w:val="544"/>
              <w:rPr>
                <w:szCs w:val="16"/>
              </w:rPr>
            </w:pPr>
            <w:r>
              <w:t xml:space="preserve">Indiquer en complétant </w:t>
            </w:r>
            <w:r>
              <w:t xml:space="preserve">la documentation constructrice, les</w:t>
            </w:r>
            <w:r>
              <w:t xml:space="preserve"> valeurs de consignes permettant </w:t>
            </w:r>
            <w:r>
              <w:t xml:space="preserve">d’assurer bon fonctionnement de l’installation lors de la mise en service.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C2.5 Représenter tout ou partie d’une installation, manuellement ou avec un outil numérique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A partir de la maquette BIM réaliser le schéma de principe hydraulique </w:t>
            </w:r>
            <w:r/>
          </w:p>
          <w:p>
            <w:pPr>
              <w:pStyle w:val="544"/>
            </w:pPr>
            <w:r>
              <w:t xml:space="preserve">A partir de la documentation technique réaliser le schéma de principe électrique.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shd w:val="clear" w:color="auto" w:fill="BFBFBF" w:themeFill="background1" w:themeFillShade="BF"/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C2.6 Identifier les connexions électriques et les </w:t>
            </w:r>
            <w:r>
              <w:rPr>
                <w:b/>
                <w:bCs/>
                <w:color w:val="001F5F"/>
                <w:sz w:val="20"/>
                <w:szCs w:val="20"/>
                <w:shd w:val="clear" w:color="auto" w:fill="BFBFBF" w:themeFill="background1" w:themeFillShade="BF"/>
              </w:rPr>
              <w:t xml:space="preserve">raccordements fluidiques d’une installation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sur le schéma électrique le numéro de raccordement et la section des conducteurs.</w:t>
            </w:r>
            <w:r/>
          </w:p>
          <w:p>
            <w:pPr>
              <w:pStyle w:val="544"/>
            </w:pPr>
            <w:r>
              <w:t xml:space="preserve">Identifier sur le schéma hydraulique </w:t>
            </w:r>
            <w:r>
              <w:t xml:space="preserve">le type, le nom des réseaux et les diamètres. </w:t>
            </w:r>
            <w:r>
              <w:t xml:space="preserve">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r>
              <w:rPr>
                <w:b/>
                <w:bCs/>
                <w:color w:val="001F5F"/>
                <w:sz w:val="20"/>
                <w:szCs w:val="20"/>
              </w:rPr>
              <w:t xml:space="preserve">C3.1 Déterminer les matériels, les produits et les outillages nécessaires à la réalisation de son intervention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Lister les équipements, les matériels, les </w:t>
            </w:r>
            <w:r>
              <w:t xml:space="preserve">outillages</w:t>
            </w:r>
            <w:r>
              <w:t xml:space="preserve"> et les produits nécessaires aux opérations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shd w:val="clear" w:color="auto" w:fill="BFBFBF" w:themeFill="background1" w:themeFillShade="BF"/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C3</w:t>
            </w:r>
            <w:r>
              <w:rPr>
                <w:b/>
                <w:bCs/>
                <w:color w:val="001F5F"/>
                <w:sz w:val="20"/>
                <w:szCs w:val="20"/>
                <w:shd w:val="clear" w:color="auto" w:fill="BFBFBF" w:themeFill="background1" w:themeFillShade="BF"/>
              </w:rPr>
              <w:t xml:space="preserve">.2 Choisir les EPC, les EPI et les EIS adaptés à l’intervention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Inventorier les </w:t>
            </w:r>
            <w:r>
              <w:t xml:space="preserve">EPI,</w:t>
            </w:r>
            <w:r>
              <w:t xml:space="preserve"> les EPC et les EIS adaptés aux différentes interventions.</w:t>
            </w:r>
            <w:bookmarkEnd w:id="1"/>
            <w:r/>
          </w:p>
        </w:tc>
      </w:tr>
    </w:tbl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/>
    </w:p>
    <w:tbl>
      <w:tblPr>
        <w:tblStyle w:val="592"/>
        <w:tblW w:w="9724" w:type="dxa"/>
        <w:tblLook w:val="04A0" w:firstRow="1" w:lastRow="0" w:firstColumn="1" w:lastColumn="0" w:noHBand="0" w:noVBand="1"/>
      </w:tblPr>
      <w:tblGrid>
        <w:gridCol w:w="4975"/>
        <w:gridCol w:w="1594"/>
        <w:gridCol w:w="3155"/>
      </w:tblGrid>
      <w:tr>
        <w:trPr>
          <w:trHeight w:val="918"/>
        </w:trPr>
        <w:tc>
          <w:tcPr>
            <w:gridSpan w:val="3"/>
            <w:shd w:val="clear" w:color="auto" w:fill="8DB3E2" w:themeFill="text2" w:themeFillTint="66"/>
            <w:tcW w:w="9724" w:type="dxa"/>
            <w:vAlign w:val="center"/>
            <w:textDirection w:val="lrTb"/>
            <w:noWrap w:val="false"/>
          </w:tcPr>
          <w:p>
            <w:pPr>
              <w:ind w:hanging="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Séquence 2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1F5F"/>
                <w:sz w:val="24"/>
                <w:szCs w:val="24"/>
              </w:rPr>
              <w:t xml:space="preserve">Comment mettre en œuvre la modification d’une installation ?</w:t>
            </w:r>
            <w:r/>
          </w:p>
        </w:tc>
      </w:tr>
      <w:tr>
        <w:trPr>
          <w:trHeight w:val="1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ind w:left="-108" w:right="-157" w:firstLine="108"/>
              <w:jc w:val="center"/>
              <w:shd w:val="clear" w:color="auto" w:fill="0070C0"/>
            </w:pPr>
            <w:r>
              <w:rPr>
                <w:b/>
              </w:rPr>
              <w:t xml:space="preserve">Baccalauréat professionnel </w:t>
            </w:r>
            <w:r>
              <w:rPr>
                <w:b/>
              </w:rPr>
              <w:t xml:space="preserve">MEE</w:t>
            </w:r>
            <w:r/>
          </w:p>
        </w:tc>
      </w:tr>
      <w:tr>
        <w:trPr>
          <w:trHeight w:val="32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jc w:val="center"/>
            </w:pPr>
            <w:r>
              <w:t xml:space="preserve">ELEMENTS D’OUVRAGES ETUDIES</w:t>
            </w:r>
            <w:r/>
          </w:p>
        </w:tc>
      </w:tr>
      <w:tr>
        <w:trPr>
          <w:trHeight w:val="1717"/>
        </w:trPr>
        <w:tc>
          <w:tcPr>
            <w:tcW w:w="4975" w:type="dxa"/>
            <w:vAlign w:val="center"/>
            <w:textDirection w:val="lrTb"/>
            <w:noWrap w:val="false"/>
          </w:tcPr>
          <w:p>
            <w:pPr>
              <w:pStyle w:val="544"/>
              <w:jc w:val="both"/>
            </w:pPr>
            <w:r>
              <w:t xml:space="preserve">L’entreprise informe avant l’intervention que les départs (cuivre) sont inversés entre le circuit radiateur et le circuit plancher chauffant.</w:t>
            </w:r>
            <w:r/>
          </w:p>
          <w:p>
            <w:pPr>
              <w:pStyle w:val="544"/>
              <w:jc w:val="both"/>
            </w:pPr>
            <w:r>
              <w:t xml:space="preserve">Le client a signé un devis de travaux supplémentaires où il souhaite piloter l’installation grâce à deux thermostats d’ambiance sans fil sur chacune des zones.</w:t>
            </w:r>
            <w:r/>
          </w:p>
          <w:p>
            <w:pPr>
              <w:pStyle w:val="544"/>
              <w:jc w:val="both"/>
            </w:pPr>
            <w:r>
              <w:t xml:space="preserve">Vous apprenez que le système est raccordé au gaz de ville.</w:t>
            </w:r>
            <w:r/>
          </w:p>
        </w:tc>
        <w:tc>
          <w:tcPr>
            <w:gridSpan w:val="2"/>
            <w:tcW w:w="4749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/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34491" cy="1560484"/>
                      <wp:effectExtent l="0" t="0" r="8890" b="1905"/>
                      <wp:docPr id="5" name="Image 1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Picture 21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4130" cy="157361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183.8pt;height:122.9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</w:tr>
      <w:tr>
        <w:trPr>
          <w:trHeight w:val="215"/>
        </w:trPr>
        <w:tc>
          <w:tcPr>
            <w:gridSpan w:val="2"/>
            <w:tcW w:w="6569" w:type="dxa"/>
            <w:textDirection w:val="lrTb"/>
            <w:noWrap w:val="false"/>
          </w:tcPr>
          <w:p>
            <w:pPr>
              <w:ind w:left="-107" w:right="-102"/>
              <w:shd w:val="clear" w:color="auto" w:fill="EEECE1" w:themeFill="background2"/>
              <w:tabs>
                <w:tab w:val="left" w:pos="1056" w:leader="none"/>
              </w:tabs>
            </w:pPr>
            <w:r>
              <w:rPr>
                <w:sz w:val="20"/>
              </w:rPr>
              <w:t xml:space="preserve">A2 : EXPLOITATION ET MISE EN SERVICE DE L’INSTALLATION</w:t>
            </w:r>
            <w:r/>
          </w:p>
        </w:tc>
        <w:tc>
          <w:tcPr>
            <w:tcW w:w="3155" w:type="dxa"/>
            <w:textDirection w:val="lrTb"/>
            <w:noWrap w:val="false"/>
          </w:tcPr>
          <w:p>
            <w:pPr>
              <w:ind w:left="-107" w:right="-157"/>
              <w:shd w:val="clear" w:color="auto" w:fill="E98B98"/>
              <w:tabs>
                <w:tab w:val="left" w:pos="5115" w:leader="none"/>
              </w:tabs>
            </w:pPr>
            <w:r>
              <w:rPr>
                <w:sz w:val="20"/>
                <w:szCs w:val="20"/>
              </w:rPr>
              <w:t xml:space="preserve">A4</w:t>
            </w:r>
            <w:r>
              <w:rPr>
                <w:b/>
                <w:bCs/>
                <w:color w:val="001F5F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COMMUNICATION</w:t>
            </w:r>
            <w:r/>
          </w:p>
        </w:tc>
      </w:tr>
      <w:tr>
        <w:trPr>
          <w:trHeight w:val="28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ind w:right="141"/>
              <w:tabs>
                <w:tab w:val="left" w:pos="5115" w:leader="none"/>
              </w:tabs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C5.1 Contrôler la conformité des matériels, des équipements, et des produits livrés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Les caractéristiques et les quantités des équipements hydrauliques et électrique sont vérifiés. Les réserves éventuelles sont consignées sur le bon de livraison.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C6.2 Réaliser les modifications des réseaux fluidiques et les câblages électriques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Réaliser les modifications électriques et fluidiques de façon soignée en assurant la protection des personnes et des biens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C6.3 Opérer avec une attitude écoresponsable</w:t>
            </w:r>
            <w:r>
              <w:rPr>
                <w:bCs/>
                <w:color w:val="001F5F"/>
                <w:sz w:val="20"/>
                <w:szCs w:val="20"/>
                <w:shd w:val="clear" w:color="auto" w:fill="BFBFBF" w:themeFill="background1" w:themeFillShade="BF"/>
              </w:rPr>
              <w:t xml:space="preserve">.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les déchets et effectuer leur tri (traitement des équipements HS, traitement des emballages…)</w:t>
            </w:r>
            <w:r/>
          </w:p>
        </w:tc>
      </w:tr>
    </w:tbl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/>
    </w:p>
    <w:tbl>
      <w:tblPr>
        <w:tblStyle w:val="592"/>
        <w:tblW w:w="9724" w:type="dxa"/>
        <w:tblLook w:val="04A0" w:firstRow="1" w:lastRow="0" w:firstColumn="1" w:lastColumn="0" w:noHBand="0" w:noVBand="1"/>
      </w:tblPr>
      <w:tblGrid>
        <w:gridCol w:w="5839"/>
        <w:gridCol w:w="1527"/>
        <w:gridCol w:w="2358"/>
      </w:tblGrid>
      <w:tr>
        <w:trPr>
          <w:trHeight w:val="918"/>
        </w:trPr>
        <w:tc>
          <w:tcPr>
            <w:gridSpan w:val="3"/>
            <w:shd w:val="clear" w:color="auto" w:fill="8DB3E2" w:themeFill="text2" w:themeFillTint="66"/>
            <w:tcW w:w="972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Séquence 3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1F5F"/>
                <w:sz w:val="24"/>
                <w:szCs w:val="24"/>
              </w:rPr>
              <w:t xml:space="preserve">Comment mettre en service une installation et optimiser son efficacité énergétique ?</w:t>
            </w:r>
            <w:r/>
          </w:p>
        </w:tc>
      </w:tr>
      <w:tr>
        <w:trPr>
          <w:trHeight w:val="196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ind w:left="-108" w:right="-157"/>
              <w:jc w:val="center"/>
              <w:shd w:val="clear" w:color="auto" w:fill="0070C0"/>
            </w:pPr>
            <w:r>
              <w:rPr>
                <w:b/>
              </w:rPr>
              <w:t xml:space="preserve">Baccalauréat professionnel </w:t>
            </w:r>
            <w:r>
              <w:rPr>
                <w:b/>
              </w:rPr>
              <w:t xml:space="preserve">MEE</w:t>
            </w:r>
            <w:r/>
          </w:p>
        </w:tc>
      </w:tr>
      <w:tr>
        <w:trPr>
          <w:trHeight w:val="32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jc w:val="center"/>
            </w:pPr>
            <w:r>
              <w:t xml:space="preserve">ELEMENTS D’OUVRAGES ETUDIES</w:t>
            </w:r>
            <w:r/>
          </w:p>
        </w:tc>
      </w:tr>
      <w:tr>
        <w:trPr>
          <w:trHeight w:val="1522"/>
        </w:trPr>
        <w:tc>
          <w:tcPr>
            <w:tcW w:w="5839" w:type="dxa"/>
            <w:vAlign w:val="center"/>
            <w:textDirection w:val="lrTb"/>
            <w:noWrap w:val="false"/>
          </w:tcPr>
          <w:p>
            <w:pPr>
              <w:pStyle w:val="544"/>
            </w:pPr>
            <w:r>
              <w:t xml:space="preserve">Après avoir réalisé les opérations de modifications hydraulique et</w:t>
            </w:r>
            <w:r>
              <w:t xml:space="preserve"> </w:t>
            </w:r>
            <w:r>
              <w:t xml:space="preserve">électrique vous devez réaliser les opérations préalable à la mise en service puis la mise en service de</w:t>
            </w:r>
            <w:r>
              <w:t xml:space="preserve"> </w:t>
            </w:r>
            <w:r>
              <w:t xml:space="preserve">l’installation.</w:t>
            </w:r>
            <w:r/>
          </w:p>
        </w:tc>
        <w:tc>
          <w:tcPr>
            <w:gridSpan w:val="2"/>
            <w:tcW w:w="3885" w:type="dxa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/>
            <w:r>
              <w:object w:dxaOrig="7546" w:dyaOrig="625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" o:spid="_x0000_s5" type="#_x0000_t75" style="mso-wrap-distance-left:0.0pt;mso-wrap-distance-top:0.0pt;mso-wrap-distance-right:0.0pt;mso-wrap-distance-bottom:0.0pt;width:106.5pt;height:88.5pt;" filled="f" stroked="f">
                  <v:path textboxrect="0,0,0,0"/>
                  <v:imagedata r:id="rId12" o:title=""/>
                </v:shape>
                <o:OLEObject DrawAspect="Content" r:id="rId13" ObjectID="_1525045" ProgID="PBrush" ShapeID="_x0000_i5" Type="Embed"/>
              </w:object>
            </w:r>
            <w:r/>
          </w:p>
        </w:tc>
      </w:tr>
      <w:tr>
        <w:trPr>
          <w:trHeight w:val="229"/>
        </w:trPr>
        <w:tc>
          <w:tcPr>
            <w:gridSpan w:val="2"/>
            <w:tcW w:w="7366" w:type="dxa"/>
            <w:textDirection w:val="lrTb"/>
            <w:noWrap w:val="false"/>
          </w:tcPr>
          <w:p>
            <w:pPr>
              <w:ind w:left="-107" w:right="-102"/>
              <w:shd w:val="clear" w:color="auto" w:fill="EEECE1" w:themeFill="background2"/>
              <w:tabs>
                <w:tab w:val="left" w:pos="1056" w:leader="none"/>
              </w:tabs>
            </w:pPr>
            <w:r>
              <w:rPr>
                <w:sz w:val="20"/>
              </w:rPr>
              <w:t xml:space="preserve">A3 : MAINTENANCE D’UNE INSTALLATION</w:t>
            </w:r>
            <w:r/>
          </w:p>
        </w:tc>
        <w:tc>
          <w:tcPr>
            <w:tcW w:w="2358" w:type="dxa"/>
            <w:textDirection w:val="lrTb"/>
            <w:noWrap w:val="false"/>
          </w:tcPr>
          <w:p>
            <w:pPr>
              <w:ind w:left="-107" w:right="-157"/>
              <w:shd w:val="clear" w:color="auto" w:fill="E98B98"/>
              <w:tabs>
                <w:tab w:val="left" w:pos="5115" w:leader="none"/>
              </w:tabs>
            </w:pPr>
            <w:r>
              <w:t xml:space="preserve">A4 </w:t>
            </w:r>
            <w:r>
              <w:rPr>
                <w:sz w:val="20"/>
                <w:szCs w:val="20"/>
              </w:rPr>
              <w:t xml:space="preserve">COMMUNICATION</w:t>
            </w:r>
            <w:r/>
          </w:p>
        </w:tc>
      </w:tr>
      <w:tr>
        <w:trPr>
          <w:trHeight w:val="28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ind w:right="141"/>
              <w:tabs>
                <w:tab w:val="left" w:pos="5115" w:leader="none"/>
              </w:tabs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C7.1 Contrôler la conformité des réalisations sur les réseaux fluidiques et les installations électriques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et réaliser les contrôles des réseaux et des installations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C7.2 Appliquer les mesures de prévention des risques professionnels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et adapter les mesures de prévention des risques professionnel. Les anomalies sont idenrtifiées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C7.3 Réaliser les modes opératoires des essais normatifs nécessaires à la mise en service des installations thermiques, fluidiques et électriques et la manipulation des fluides frigorigènes</w:t>
            </w:r>
            <w:r/>
          </w:p>
        </w:tc>
      </w:tr>
      <w:tr>
        <w:trPr>
          <w:trHeight w:val="340"/>
        </w:trPr>
        <w:tc>
          <w:tcPr>
            <w:gridSpan w:val="3"/>
            <w:tcBorders>
              <w:bottom w:val="single" w:sz="4" w:space="0" w:color="auto"/>
            </w:tcBorders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Expliquer au client l’utilisation du tableau de bord des chauffe-eaux thermodynamiques</w:t>
            </w:r>
            <w:r/>
          </w:p>
        </w:tc>
      </w:tr>
    </w:tbl>
    <w:tbl>
      <w:tblPr>
        <w:tblStyle w:val="601"/>
        <w:tblW w:w="9724" w:type="dxa"/>
        <w:tblLook w:val="04A0" w:firstRow="1" w:lastRow="0" w:firstColumn="1" w:lastColumn="0" w:noHBand="0" w:noVBand="1"/>
      </w:tblPr>
      <w:tblGrid>
        <w:gridCol w:w="9724"/>
      </w:tblGrid>
      <w:tr>
        <w:trPr>
          <w:trHeight w:val="280"/>
        </w:trPr>
        <w:tc>
          <w:tcPr>
            <w:shd w:val="clear" w:color="auto" w:fill="BFBFBF" w:themeFill="background1" w:themeFillShade="BF"/>
            <w:tcBorders>
              <w:top w:val="single" w:sz="4" w:space="0" w:color="auto"/>
            </w:tcBorders>
            <w:tcW w:w="9724" w:type="dxa"/>
            <w:textDirection w:val="lrTb"/>
            <w:noWrap w:val="false"/>
          </w:tcPr>
          <w:p>
            <w:pPr>
              <w:rPr>
                <w:b/>
                <w:bCs/>
                <w:color w:val="001F5F"/>
                <w:sz w:val="20"/>
                <w:szCs w:val="20"/>
              </w:rPr>
              <w:pBdr>
                <w:left w:val="none" w:sz="0" w:space="0" w:color="auto"/>
                <w:top w:val="none" w:sz="0" w:space="0" w:color="auto"/>
                <w:right w:val="none" w:sz="0" w:space="0" w:color="auto"/>
                <w:bottom w:val="none" w:sz="0" w:space="0" w:color="auto"/>
                <w:between w:val="none" w:sz="0" w:space="0" w:color="auto"/>
              </w:pBd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C7.5 Effectuer la précharge du réseau fluidique du système et des réseaux de fluides frigorigènes</w:t>
            </w:r>
            <w:r/>
          </w:p>
        </w:tc>
      </w:tr>
      <w:tr>
        <w:trPr>
          <w:trHeight w:val="340"/>
        </w:trPr>
        <w:tc>
          <w:tcPr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Accompagner l’intervention d’un technicien certifié.</w:t>
            </w:r>
            <w:r/>
          </w:p>
        </w:tc>
      </w:tr>
      <w:tr>
        <w:trPr>
          <w:trHeight w:val="340"/>
        </w:trPr>
        <w:tc>
          <w:tcPr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C7.6 Réaliser les opérations de mise en service et/ou d’arrêt de l’installation</w:t>
            </w:r>
            <w:r/>
          </w:p>
        </w:tc>
      </w:tr>
      <w:tr>
        <w:trPr>
          <w:trHeight w:val="340"/>
        </w:trPr>
        <w:tc>
          <w:tcPr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Réaliser les opérations de mise en service et d’arrêt en respectant le protocole et assurant la sécurité des biens et des personnes.</w:t>
            </w:r>
            <w:r/>
          </w:p>
        </w:tc>
      </w:tr>
      <w:tr>
        <w:trPr>
          <w:trHeight w:val="340"/>
        </w:trPr>
        <w:tc>
          <w:tcPr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C8.1 Identifier les points de mesures sur l’installation électrique et/ou le réseau fluidique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</w:t>
            </w:r>
            <w:r>
              <w:t xml:space="preserve">les points de mesurages (hydraulique et électrique) conforme aux besoins du contrôle.</w:t>
            </w:r>
            <w:r/>
          </w:p>
        </w:tc>
      </w:tr>
      <w:tr>
        <w:trPr>
          <w:trHeight w:val="340"/>
        </w:trPr>
        <w:tc>
          <w:tcPr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C8.2 Installer des appareils de mesures et de contrôle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Installer les appareils en respectant les indications du fabricant et en respectant les normes en vigueur tout en assurant la sécurité des biens et des personnes </w:t>
            </w:r>
            <w:r/>
          </w:p>
        </w:tc>
      </w:tr>
      <w:tr>
        <w:trPr>
          <w:trHeight w:val="340"/>
        </w:trPr>
        <w:tc>
          <w:tcPr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C8.3 Réaliser les mesures nécessaires pour valider le fonctionnement de l’installation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Utiliser les appareils en suivant préconisations du fabricant et les normes en vigueurs</w:t>
            </w:r>
            <w:r>
              <w:t xml:space="preserve"> </w:t>
            </w:r>
            <w:r>
              <w:t xml:space="preserve">tout en assurant la sécurité des biens et des personnes</w:t>
            </w:r>
            <w:r>
              <w:t xml:space="preserve">.</w:t>
            </w:r>
            <w:r>
              <w:t xml:space="preserve"> La lecture est conforme à la grandeur mesurée.</w:t>
            </w:r>
            <w:r>
              <w:t xml:space="preserve"> </w:t>
            </w:r>
            <w:r/>
          </w:p>
        </w:tc>
      </w:tr>
      <w:tr>
        <w:trPr>
          <w:trHeight w:val="340"/>
        </w:trPr>
        <w:tc>
          <w:tcPr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C8.4 Traiter les informations des mesures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Consigner les grandeurs mesurer en adaptant les unités si besoin</w:t>
            </w:r>
            <w:r>
              <w:t xml:space="preserve">.</w:t>
            </w:r>
            <w:r>
              <w:t xml:space="preserve"> Vérifier la cohérence des mesures en </w:t>
            </w:r>
            <w:r>
              <w:t xml:space="preserve">effectuant</w:t>
            </w:r>
            <w:r>
              <w:t xml:space="preserve"> les </w:t>
            </w:r>
            <w:r>
              <w:t xml:space="preserve">calculs</w:t>
            </w:r>
            <w:r>
              <w:t xml:space="preserve"> de </w:t>
            </w:r>
            <w:r>
              <w:t xml:space="preserve">puissances</w:t>
            </w:r>
            <w:r>
              <w:t xml:space="preserve"> et de débit</w:t>
            </w:r>
            <w:r>
              <w:t xml:space="preserve">s</w:t>
            </w:r>
            <w:r/>
          </w:p>
        </w:tc>
      </w:tr>
      <w:tr>
        <w:trPr>
          <w:trHeight w:val="340"/>
        </w:trPr>
        <w:tc>
          <w:tcPr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C8.5 Comparer les grandeurs mesurées avec les grandeurs caractéristiques nominales attendues</w:t>
            </w:r>
            <w:r/>
          </w:p>
        </w:tc>
      </w:tr>
      <w:tr>
        <w:trPr>
          <w:trHeight w:val="432"/>
        </w:trPr>
        <w:tc>
          <w:tcPr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  <w:rPr>
                <w:szCs w:val="16"/>
              </w:rPr>
            </w:pPr>
            <w:r>
              <w:t xml:space="preserve">Interpréter les écarts éventuels entre la prescription et les lectures effectuées sur les différents réseaux.</w:t>
            </w:r>
            <w:r/>
          </w:p>
        </w:tc>
      </w:tr>
      <w:tr>
        <w:trPr>
          <w:trHeight w:val="340"/>
        </w:trPr>
        <w:tc>
          <w:tcPr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C9.1 Compléter la charge du réseau fluidique et des réseaux de fluides frigorigènes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Réaliser la charge du réseaux fluidiques (y compris vase d’expansion)</w:t>
            </w:r>
            <w:r>
              <w:t xml:space="preserve">.</w:t>
            </w:r>
            <w:r/>
          </w:p>
        </w:tc>
      </w:tr>
      <w:tr>
        <w:trPr>
          <w:trHeight w:val="340"/>
        </w:trPr>
        <w:tc>
          <w:tcPr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shd w:val="clear" w:color="auto" w:fill="BFBFBF" w:themeFill="background1" w:themeFillShade="BF"/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C9.2 Déterminer les réglages nécessaires pour obtenir le fonctionnement attendu du système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Pour le réseau hydraulique, gaz, électrique et </w:t>
            </w:r>
            <w:r>
              <w:t xml:space="preserve">pour assurer une combustion acceptable.</w:t>
            </w:r>
            <w:r>
              <w:t xml:space="preserve"> </w:t>
            </w:r>
            <w:r/>
          </w:p>
        </w:tc>
      </w:tr>
      <w:tr>
        <w:trPr>
          <w:trHeight w:val="340"/>
        </w:trPr>
        <w:tc>
          <w:tcPr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r>
              <w:rPr>
                <w:b/>
                <w:bCs/>
                <w:color w:val="001F5F"/>
                <w:sz w:val="20"/>
                <w:szCs w:val="20"/>
              </w:rPr>
              <w:t xml:space="preserve">C9.3 Ajuster les réglages des systèmes de régulation et de sécurité</w:t>
            </w:r>
            <w:r/>
          </w:p>
        </w:tc>
      </w:tr>
      <w:tr>
        <w:trPr>
          <w:trHeight w:val="340"/>
        </w:trPr>
        <w:tc>
          <w:tcPr>
            <w:shd w:val="clear" w:color="auto" w:fill="auto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Régler les équipements hydrauliques et électriques</w:t>
            </w:r>
            <w:r/>
          </w:p>
        </w:tc>
      </w:tr>
    </w:tbl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/>
    </w:p>
    <w:tbl>
      <w:tblPr>
        <w:tblStyle w:val="592"/>
        <w:tblW w:w="9724" w:type="dxa"/>
        <w:tblLook w:val="04A0" w:firstRow="1" w:lastRow="0" w:firstColumn="1" w:lastColumn="0" w:noHBand="0" w:noVBand="1"/>
      </w:tblPr>
      <w:tblGrid>
        <w:gridCol w:w="5382"/>
        <w:gridCol w:w="1984"/>
        <w:gridCol w:w="2358"/>
      </w:tblGrid>
      <w:tr>
        <w:trPr>
          <w:trHeight w:val="918"/>
        </w:trPr>
        <w:tc>
          <w:tcPr>
            <w:gridSpan w:val="3"/>
            <w:shd w:val="clear" w:color="auto" w:fill="8DB3E2" w:themeFill="text2" w:themeFillTint="66"/>
            <w:tcW w:w="972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/>
            <w:bookmarkStart w:id="2" w:name="_Hlk88994314"/>
            <w:r>
              <w:rPr>
                <w:b/>
                <w:sz w:val="28"/>
                <w:szCs w:val="28"/>
              </w:rPr>
              <w:t xml:space="preserve">Séquence 4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1F5F"/>
                <w:sz w:val="24"/>
                <w:szCs w:val="24"/>
              </w:rPr>
              <w:t xml:space="preserve">Comment assurer la réussite d’une intervention de maintenance corrective ?</w:t>
            </w:r>
            <w:r/>
          </w:p>
        </w:tc>
      </w:tr>
      <w:tr>
        <w:trPr>
          <w:trHeight w:val="23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ind w:right="-157" w:hanging="108"/>
              <w:jc w:val="center"/>
              <w:shd w:val="clear" w:color="auto" w:fill="0070C0"/>
            </w:pPr>
            <w:r>
              <w:rPr>
                <w:b/>
              </w:rPr>
              <w:t xml:space="preserve">Baccalauréat professionnel </w:t>
            </w:r>
            <w:r>
              <w:rPr>
                <w:b/>
              </w:rPr>
              <w:t xml:space="preserve">MEE</w:t>
            </w:r>
            <w:r/>
          </w:p>
        </w:tc>
      </w:tr>
      <w:tr>
        <w:trPr>
          <w:trHeight w:val="32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jc w:val="center"/>
            </w:pPr>
            <w:r>
              <w:t xml:space="preserve">ELEMENTS D’OUVRAGES ETUDIES</w:t>
            </w:r>
            <w:r/>
          </w:p>
        </w:tc>
      </w:tr>
      <w:tr>
        <w:trPr>
          <w:trHeight w:val="340"/>
        </w:trPr>
        <w:tc>
          <w:tcPr>
            <w:tcW w:w="5382" w:type="dxa"/>
            <w:vAlign w:val="center"/>
            <w:textDirection w:val="lrTb"/>
            <w:noWrap w:val="false"/>
          </w:tcPr>
          <w:p>
            <w:pPr>
              <w:pStyle w:val="544"/>
            </w:pPr>
            <w:r>
              <w:t xml:space="preserve">Le réseau plancher chauffant est obstrué.</w:t>
            </w:r>
            <w:r/>
          </w:p>
        </w:tc>
        <w:tc>
          <w:tcPr>
            <w:gridSpan w:val="2"/>
            <w:tcW w:w="434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34534</wp:posOffset>
                      </wp:positionV>
                      <wp:extent cx="249324" cy="124690"/>
                      <wp:effectExtent l="0" t="0" r="17780" b="27940"/>
                      <wp:wrapNone/>
                      <wp:docPr id="7" name="Rectangle 6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49324" cy="124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6" o:spid="_x0000_s6" o:spt="1" style="position:absolute;mso-wrap-distance-left:9.0pt;mso-wrap-distance-top:0.0pt;mso-wrap-distance-right:9.0pt;mso-wrap-distance-bottom:0.0pt;z-index:251675648;o:allowoverlap:true;o:allowincell:true;mso-position-horizontal-relative:text;margin-left:143.0pt;mso-position-horizontal:absolute;mso-position-vertical-relative:text;margin-top:2.7pt;mso-position-vertical:absolute;width:19.6pt;height:9.8pt;" coordsize="100000,100000" path="" fillcolor="#FFFFFF" strokecolor="#FFFFFF" strokeweight="2.00pt">
                      <v:path textboxrect="0,0,0,0"/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17073" cy="948380"/>
                      <wp:effectExtent l="0" t="0" r="6985" b="4445"/>
                      <wp:docPr id="8" name="Image 5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40058" cy="9627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119.5pt;height:74.7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/>
            <w:r/>
          </w:p>
        </w:tc>
      </w:tr>
      <w:tr>
        <w:trPr>
          <w:trHeight w:val="253"/>
        </w:trPr>
        <w:tc>
          <w:tcPr>
            <w:gridSpan w:val="2"/>
            <w:tcW w:w="7366" w:type="dxa"/>
            <w:textDirection w:val="lrTb"/>
            <w:noWrap w:val="false"/>
          </w:tcPr>
          <w:p>
            <w:pPr>
              <w:ind w:left="-107" w:right="-102"/>
              <w:shd w:val="clear" w:color="auto" w:fill="EEECE1" w:themeFill="background2"/>
              <w:tabs>
                <w:tab w:val="left" w:pos="1056" w:leader="none"/>
              </w:tabs>
            </w:pPr>
            <w:r>
              <w:rPr>
                <w:sz w:val="20"/>
              </w:rPr>
              <w:t xml:space="preserve">A3 : MAINTENANCE D’UNE INSTALLATION</w:t>
            </w:r>
            <w:r/>
          </w:p>
        </w:tc>
        <w:tc>
          <w:tcPr>
            <w:tcW w:w="2358" w:type="dxa"/>
            <w:textDirection w:val="lrTb"/>
            <w:noWrap w:val="false"/>
          </w:tcPr>
          <w:p>
            <w:pPr>
              <w:ind w:left="-107" w:right="-157"/>
              <w:shd w:val="clear" w:color="auto" w:fill="E98B98"/>
              <w:tabs>
                <w:tab w:val="left" w:pos="5115" w:leader="none"/>
              </w:tabs>
            </w:pPr>
            <w:r>
              <w:t xml:space="preserve">A4 </w:t>
            </w:r>
            <w:r>
              <w:rPr>
                <w:sz w:val="20"/>
                <w:szCs w:val="20"/>
              </w:rPr>
              <w:t xml:space="preserve">COMMUNICATION</w:t>
            </w:r>
            <w:r/>
          </w:p>
        </w:tc>
      </w:tr>
      <w:tr>
        <w:trPr>
          <w:trHeight w:val="28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ind w:right="141"/>
              <w:tabs>
                <w:tab w:val="left" w:pos="5115" w:leader="none"/>
              </w:tabs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C11.2 Constater la défaillance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les données permettant de relevé le dysfonctionnement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C11.3 Lister des hypothèses de panne et/ou de dysfonctionnement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Lister les hypothèses liées au dysfonctionnement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/>
            <w:bookmarkStart w:id="3" w:name="_Hlk88993092"/>
            <w:r>
              <w:rPr>
                <w:b/>
                <w:bCs/>
                <w:color w:val="001F5F"/>
                <w:sz w:val="20"/>
                <w:szCs w:val="20"/>
              </w:rPr>
              <w:t xml:space="preserve">C11.4 Vérifier les hypothèses en effectuant des mesures, des contrôles, des tests permettant en respectant les règles de sécurité</w:t>
            </w:r>
            <w:r>
              <w:rPr>
                <w:bCs/>
                <w:color w:val="001F5F"/>
                <w:sz w:val="20"/>
                <w:szCs w:val="20"/>
                <w:shd w:val="clear" w:color="auto" w:fill="BFBFBF" w:themeFill="background1" w:themeFillShade="BF"/>
              </w:rPr>
              <w:t xml:space="preserve">.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Tester et valider les hypothèses proposées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C11.5 Identifier le composant défectueux et/ou la cause de la défaillance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les causes de l’apparition des boues</w:t>
            </w:r>
            <w:r/>
          </w:p>
        </w:tc>
      </w:tr>
      <w:tr>
        <w:trPr>
          <w:trHeight w:val="39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r>
              <w:rPr>
                <w:b/>
                <w:bCs/>
                <w:color w:val="001F5F"/>
                <w:sz w:val="20"/>
                <w:szCs w:val="20"/>
              </w:rPr>
              <w:t xml:space="preserve">C11.8 Consigner (déconsigner) le système (électrique, fluidique : gaz, caloporteurs…)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  <w:rPr>
                <w:sz w:val="16"/>
                <w:szCs w:val="16"/>
              </w:rPr>
            </w:pPr>
            <w:r>
              <w:t xml:space="preserve">Réaliser </w:t>
            </w:r>
            <w:r>
              <w:t xml:space="preserve">les opérations de consignation des différents réseaux</w:t>
            </w:r>
            <w:r>
              <w:t xml:space="preserve"> en respectant les protocoles et en assurant la sécurité des biens et des personnes.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C11.11 Remettre en service l’installation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Réaliser les opérations de désembouage et remettre en service l’installation</w:t>
            </w:r>
            <w:bookmarkEnd w:id="3"/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C11.12 Opérer le traitement des déchets</w:t>
            </w:r>
            <w:r>
              <w:rPr>
                <w:bCs/>
                <w:color w:val="001F5F"/>
                <w:sz w:val="20"/>
                <w:szCs w:val="20"/>
                <w:shd w:val="clear" w:color="auto" w:fill="BFBFBF" w:themeFill="background1" w:themeFillShade="BF"/>
              </w:rPr>
              <w:t xml:space="preserve">.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Remettre en état la zone d’intervention en assurant l’évacuation des déchets de façon écoresponsable.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C12.2 Expliquer l’état d’avancement des opérations, leurs contraintes et leurs difficultés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et transmettre à la hiérarchie les contraintes et les difficultés avant l’intervention</w:t>
            </w:r>
            <w:r/>
          </w:p>
        </w:tc>
      </w:tr>
      <w:tr>
        <w:trPr>
          <w:trHeight w:val="39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r>
              <w:rPr>
                <w:b/>
                <w:bCs/>
                <w:color w:val="001F5F"/>
                <w:sz w:val="20"/>
                <w:szCs w:val="20"/>
              </w:rPr>
              <w:t xml:space="preserve">C12.3 Compléter les documents techniques et administratifs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  <w:rPr>
                <w:sz w:val="16"/>
                <w:szCs w:val="16"/>
              </w:rPr>
            </w:pPr>
            <w:r>
              <w:t xml:space="preserve">Compléter les documents techniques et administratifs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C12.4 Formuler un compte-rendu, un rapport d’activité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Rédiger</w:t>
            </w:r>
            <w:r>
              <w:t xml:space="preserve"> un compte-rendu, un rapport d’activité</w:t>
            </w:r>
            <w:bookmarkEnd w:id="2"/>
            <w:r/>
          </w:p>
        </w:tc>
      </w:tr>
    </w:tbl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/>
    </w:p>
    <w:tbl>
      <w:tblPr>
        <w:tblStyle w:val="592"/>
        <w:tblW w:w="9724" w:type="dxa"/>
        <w:tblLook w:val="04A0" w:firstRow="1" w:lastRow="0" w:firstColumn="1" w:lastColumn="0" w:noHBand="0" w:noVBand="1"/>
      </w:tblPr>
      <w:tblGrid>
        <w:gridCol w:w="5382"/>
        <w:gridCol w:w="1984"/>
        <w:gridCol w:w="2358"/>
      </w:tblGrid>
      <w:tr>
        <w:trPr>
          <w:trHeight w:val="918"/>
        </w:trPr>
        <w:tc>
          <w:tcPr>
            <w:gridSpan w:val="3"/>
            <w:shd w:val="clear" w:color="auto" w:fill="8DB3E2" w:themeFill="text2" w:themeFillTint="66"/>
            <w:tcW w:w="972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Séquence </w:t>
            </w:r>
            <w:r>
              <w:rPr>
                <w:b/>
                <w:sz w:val="28"/>
                <w:szCs w:val="28"/>
              </w:rPr>
              <w:t xml:space="preserve">5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1F5F"/>
                <w:sz w:val="24"/>
                <w:szCs w:val="24"/>
              </w:rPr>
              <w:t xml:space="preserve">Comment assurer la qualité d’une intervention de maintenance préventive et ainsi optimiser l’efficacité énergétique du bâtiment ?</w:t>
            </w:r>
            <w:r/>
          </w:p>
        </w:tc>
      </w:tr>
      <w:tr>
        <w:trPr>
          <w:trHeight w:val="23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ind w:right="-157" w:hanging="108"/>
              <w:jc w:val="center"/>
              <w:shd w:val="clear" w:color="auto" w:fill="0070C0"/>
            </w:pPr>
            <w:r>
              <w:rPr>
                <w:b/>
              </w:rPr>
              <w:t xml:space="preserve">Baccalauréat professionnel </w:t>
            </w:r>
            <w:r>
              <w:rPr>
                <w:b/>
              </w:rPr>
              <w:t xml:space="preserve">MEE</w:t>
            </w:r>
            <w:r/>
          </w:p>
        </w:tc>
      </w:tr>
      <w:tr>
        <w:trPr>
          <w:trHeight w:val="32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jc w:val="center"/>
            </w:pPr>
            <w:r>
              <w:t xml:space="preserve">ELEMENTS D’OUVRAGES ETUDIES</w:t>
            </w:r>
            <w:r/>
          </w:p>
        </w:tc>
      </w:tr>
      <w:tr>
        <w:trPr>
          <w:trHeight w:val="340"/>
        </w:trPr>
        <w:tc>
          <w:tcPr>
            <w:tcW w:w="5382" w:type="dxa"/>
            <w:vAlign w:val="center"/>
            <w:textDirection w:val="lrTb"/>
            <w:noWrap w:val="false"/>
          </w:tcPr>
          <w:p>
            <w:pPr>
              <w:pStyle w:val="544"/>
              <w:jc w:val="both"/>
            </w:pPr>
            <w:r>
              <w:t xml:space="preserve">A partir de la gamme de maintenance et de la documentation</w:t>
            </w:r>
            <w:r>
              <w:t xml:space="preserve"> </w:t>
            </w:r>
            <w:r>
              <w:t xml:space="preserve">constructeur </w:t>
            </w:r>
            <w:r>
              <w:t xml:space="preserve">identifier et réaliser</w:t>
            </w:r>
            <w:r>
              <w:t xml:space="preserve"> les opérations de maintenance préventives 5 ans</w:t>
            </w:r>
            <w:r>
              <w:t xml:space="preserve"> </w:t>
            </w:r>
            <w:r>
              <w:t xml:space="preserve">après la 1ère mise en service</w:t>
            </w:r>
            <w:r>
              <w:t xml:space="preserve">.</w:t>
            </w:r>
            <w:r/>
          </w:p>
        </w:tc>
        <w:tc>
          <w:tcPr>
            <w:gridSpan w:val="2"/>
            <w:tcW w:w="4342" w:type="dxa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34534</wp:posOffset>
                      </wp:positionV>
                      <wp:extent cx="249324" cy="124690"/>
                      <wp:effectExtent l="0" t="0" r="17780" b="27940"/>
                      <wp:wrapNone/>
                      <wp:docPr id="9" name="Rectangle 7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49324" cy="1246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" o:spid="_x0000_s8" o:spt="1" style="position:absolute;mso-wrap-distance-left:9.0pt;mso-wrap-distance-top:0.0pt;mso-wrap-distance-right:9.0pt;mso-wrap-distance-bottom:0.0pt;z-index:251678720;o:allowoverlap:true;o:allowincell:true;mso-position-horizontal-relative:text;margin-left:143.0pt;mso-position-horizontal:absolute;mso-position-vertical-relative:text;margin-top:2.7pt;mso-position-vertical:absolute;width:19.6pt;height:9.8pt;" coordsize="100000,100000" path="" fillcolor="#FFFFFF" strokecolor="#FFFFFF" strokeweight="2.00pt">
                      <v:path textboxrect="0,0,0,0"/>
                    </v:shape>
                  </w:pict>
                </mc:Fallback>
              </mc:AlternateContent>
            </w:r>
            <w:r>
              <w:t xml:space="preserve"> </w:t>
            </w:r>
            <w:r>
              <w:object w:dxaOrig="3690" w:dyaOrig="298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" o:spid="_x0000_s9" type="#_x0000_t75" style="mso-wrap-distance-left:0.0pt;mso-wrap-distance-top:0.0pt;mso-wrap-distance-right:0.0pt;mso-wrap-distance-bottom:0.0pt;width:133.5pt;height:108.0pt;" filled="f" stroked="f">
                  <v:path textboxrect="0,0,0,0"/>
                  <v:imagedata r:id="rId15" o:title=""/>
                </v:shape>
                <o:OLEObject DrawAspect="Content" r:id="rId16" ObjectID="_1525049" ProgID="PBrush" ShapeID="_x0000_i9" Type="Embed"/>
              </w:object>
            </w:r>
            <w:r/>
          </w:p>
        </w:tc>
      </w:tr>
      <w:tr>
        <w:trPr>
          <w:trHeight w:val="253"/>
        </w:trPr>
        <w:tc>
          <w:tcPr>
            <w:gridSpan w:val="2"/>
            <w:tcW w:w="7366" w:type="dxa"/>
            <w:textDirection w:val="lrTb"/>
            <w:noWrap w:val="false"/>
          </w:tcPr>
          <w:p>
            <w:pPr>
              <w:ind w:left="-107" w:right="-102"/>
              <w:shd w:val="clear" w:color="auto" w:fill="EEECE1" w:themeFill="background2"/>
              <w:tabs>
                <w:tab w:val="left" w:pos="1056" w:leader="none"/>
              </w:tabs>
            </w:pPr>
            <w:r>
              <w:rPr>
                <w:sz w:val="20"/>
              </w:rPr>
              <w:t xml:space="preserve">A3 : MAINTENANCE D’UNE INSTALLATION</w:t>
            </w:r>
            <w:r/>
          </w:p>
        </w:tc>
        <w:tc>
          <w:tcPr>
            <w:tcW w:w="2358" w:type="dxa"/>
            <w:textDirection w:val="lrTb"/>
            <w:noWrap w:val="false"/>
          </w:tcPr>
          <w:p>
            <w:pPr>
              <w:ind w:left="-107" w:right="-157"/>
              <w:shd w:val="clear" w:color="auto" w:fill="E98B98"/>
              <w:tabs>
                <w:tab w:val="left" w:pos="5115" w:leader="none"/>
              </w:tabs>
            </w:pPr>
            <w:r>
              <w:t xml:space="preserve">A4 </w:t>
            </w:r>
            <w:r>
              <w:rPr>
                <w:sz w:val="20"/>
                <w:szCs w:val="20"/>
              </w:rPr>
              <w:t xml:space="preserve">COMMUNICATION</w:t>
            </w:r>
            <w:r/>
          </w:p>
        </w:tc>
      </w:tr>
      <w:tr>
        <w:trPr>
          <w:trHeight w:val="28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ind w:right="141"/>
              <w:tabs>
                <w:tab w:val="left" w:pos="5115" w:leader="none"/>
              </w:tabs>
              <w:rPr>
                <w:b/>
                <w:bCs/>
                <w:color w:val="001F5F"/>
                <w:sz w:val="20"/>
                <w:szCs w:val="20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C10.1 Identifier les opérations prédéfinies liées au contrat de maintenance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</w:t>
            </w:r>
            <w:r>
              <w:t xml:space="preserve">les site, lieu </w:t>
            </w:r>
            <w:r>
              <w:t xml:space="preserve">d’intervention, période et collecter les informations en lien avec le contrat de maintenance </w:t>
            </w:r>
            <w:r>
              <w:rPr>
                <w:i/>
                <w:iCs/>
              </w:rPr>
              <w:t xml:space="preserve">(Cf : séance 1)</w:t>
            </w:r>
            <w:r>
              <w:t xml:space="preserve">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C10.2 Déterminer une organisation en fonction de l’environnement de travail et les conditions de la maintenance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Organiser son intervention en listant les équipements, et outillages nécessaires </w:t>
            </w:r>
            <w:r>
              <w:rPr>
                <w:i/>
                <w:iCs/>
              </w:rPr>
              <w:t xml:space="preserve">(Cf : séance 1)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C10.3 Contrôler les données d’exploitation (indicateurs, voyants…) par rapport aux attendus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Identifier les désordres et dérives éventuels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C10.4 Traiter les informations de télémaintenance et celles des applications numériques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Relevé l’historique des consommations et des pannes éventuelles puis interpréter les résultats</w:t>
            </w:r>
            <w:r/>
          </w:p>
        </w:tc>
      </w:tr>
      <w:tr>
        <w:trPr>
          <w:trHeight w:val="39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r>
              <w:rPr>
                <w:b/>
                <w:bCs/>
                <w:color w:val="001F5F"/>
                <w:sz w:val="20"/>
                <w:szCs w:val="20"/>
              </w:rPr>
              <w:t xml:space="preserve">C10.5 Réaliser les opérations de maintenance préventive d’ordre technique et réglementaire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  <w:rPr>
                <w:sz w:val="16"/>
                <w:szCs w:val="16"/>
              </w:rPr>
            </w:pPr>
            <w:r>
              <w:t xml:space="preserve">Réaliser </w:t>
            </w:r>
            <w:r>
              <w:t xml:space="preserve">les opérations de </w:t>
            </w:r>
            <w:r>
              <w:t xml:space="preserve">maintenance préventive</w:t>
            </w:r>
            <w:r>
              <w:t xml:space="preserve">.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C10.6 Contrôler l’état du système après intervention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Réaliser les opérations de </w:t>
            </w:r>
            <w:r>
              <w:t xml:space="preserve">mesurages garantissant le bon fonctionnement du système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C10.7 Opérer le traitement des déchets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Remettre en état la zone d’intervention en assurant l’évacuation des déchets de façon écoresponsable. 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C13.1 Interpréter les informations du client et/ou l’exploitant sur ses besoins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Echanger oralement avec le client pour identifier ses besoins</w:t>
            </w:r>
            <w:r/>
          </w:p>
        </w:tc>
      </w:tr>
      <w:tr>
        <w:trPr>
          <w:trHeight w:val="391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r>
              <w:rPr>
                <w:b/>
                <w:bCs/>
                <w:color w:val="001F5F"/>
                <w:sz w:val="20"/>
                <w:szCs w:val="20"/>
              </w:rPr>
              <w:t xml:space="preserve">C13.2 Expliquer le fonctionnement et l’utilisation de l’installation au client et/ou à l’exploitant  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  <w:rPr>
                <w:sz w:val="16"/>
                <w:szCs w:val="16"/>
              </w:rPr>
            </w:pPr>
            <w:r>
              <w:t xml:space="preserve">Echanger avec le client pour assurer l’optimisation de fonctionnement du système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/>
            <w:bookmarkStart w:id="4" w:name="_Hlk88995993"/>
            <w:r>
              <w:rPr>
                <w:b/>
                <w:bCs/>
                <w:color w:val="001F5F"/>
                <w:sz w:val="20"/>
                <w:szCs w:val="20"/>
              </w:rPr>
              <w:t xml:space="preserve">C13.3 Informer oralement des consignes de sécurité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Informer </w:t>
            </w:r>
            <w:r>
              <w:t xml:space="preserve">clairement à l’</w:t>
            </w:r>
            <w:r>
              <w:t xml:space="preserve">oral </w:t>
            </w:r>
            <w:r>
              <w:t xml:space="preserve">l</w:t>
            </w:r>
            <w:r>
              <w:t xml:space="preserve">es consignes de sécurité</w:t>
            </w:r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/>
            <w:bookmarkStart w:id="5" w:name="_Hlk88996147"/>
            <w:r/>
            <w:bookmarkEnd w:id="4"/>
            <w:r>
              <w:rPr>
                <w:b/>
                <w:bCs/>
                <w:color w:val="001F5F"/>
                <w:sz w:val="20"/>
                <w:szCs w:val="20"/>
              </w:rPr>
              <w:t xml:space="preserve">C13.4 Communiquer avec le client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La communication écrite et oral avec le client sont adaptées.</w:t>
            </w:r>
            <w:bookmarkEnd w:id="5"/>
            <w:r/>
          </w:p>
        </w:tc>
      </w:tr>
      <w:tr>
        <w:trPr>
          <w:trHeight w:val="340"/>
        </w:trPr>
        <w:tc>
          <w:tcPr>
            <w:gridSpan w:val="3"/>
            <w:shd w:val="clear" w:color="auto" w:fill="BFBFBF" w:themeFill="background1" w:themeFillShade="BF"/>
            <w:tcW w:w="9724" w:type="dxa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b/>
                <w:bCs/>
                <w:color w:val="001F5F"/>
                <w:sz w:val="20"/>
                <w:szCs w:val="20"/>
              </w:rPr>
              <w:t xml:space="preserve">C13.5 Déterminer une solution technique pour le client et/ou l’exploitant  </w:t>
            </w:r>
            <w:r/>
          </w:p>
        </w:tc>
      </w:tr>
      <w:tr>
        <w:trPr>
          <w:trHeight w:val="340"/>
        </w:trPr>
        <w:tc>
          <w:tcPr>
            <w:gridSpan w:val="3"/>
            <w:tcW w:w="9724" w:type="dxa"/>
            <w:textDirection w:val="lrTb"/>
            <w:noWrap w:val="false"/>
          </w:tcPr>
          <w:p>
            <w:pPr>
              <w:pStyle w:val="544"/>
            </w:pPr>
            <w:r>
              <w:t xml:space="preserve">Proposer au client une solution qui permettra d’optimiser le fonctionnement du système.</w:t>
            </w:r>
            <w:r/>
          </w:p>
        </w:tc>
      </w:tr>
    </w:tbl>
    <w:p>
      <w:pPr>
        <w:tabs>
          <w:tab w:val="left" w:pos="5730" w:leader="none"/>
        </w:tabs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sectPr>
      <w:footnotePr/>
      <w:type w:val="nextPage"/>
      <w:pgSz w:w="11906" w:h="16838" w:orient="portrait"/>
      <w:pgMar w:top="1418" w:right="1418" w:bottom="1134" w:left="1418" w:header="709" w:footer="709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59"/>
      </w:pPr>
      <w:rPr>
        <w:rFonts w:ascii="Arial" w:hAnsi="Arial" w:cs="Arial" w:eastAsia="Arial" w:hint="default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Arial" w:hAnsi="Arial" w:cs="Arial" w:eastAsia="Arial" w:hint="default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59"/>
      </w:pPr>
      <w:rPr>
        <w:rFonts w:ascii="Arial" w:hAnsi="Arial" w:cs="Arial" w:eastAsia="Aria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59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59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59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59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59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59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59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59"/>
      </w:pPr>
      <w:rPr>
        <w:rFonts w:ascii="Wingdings" w:hAnsi="Wingding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2"/>
        <w:szCs w:val="22"/>
        <w:lang w:val="fr-FR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398" w:default="1">
    <w:name w:val="Normal"/>
    <w:qFormat/>
  </w:style>
  <w:style w:type="paragraph" w:styleId="399">
    <w:name w:val="Heading 1"/>
    <w:basedOn w:val="398"/>
    <w:next w:val="398"/>
    <w:link w:val="534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00">
    <w:name w:val="Heading 2"/>
    <w:basedOn w:val="398"/>
    <w:next w:val="398"/>
    <w:link w:val="535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01">
    <w:name w:val="Heading 3"/>
    <w:basedOn w:val="398"/>
    <w:next w:val="398"/>
    <w:link w:val="53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02">
    <w:name w:val="Heading 4"/>
    <w:basedOn w:val="398"/>
    <w:next w:val="398"/>
    <w:link w:val="537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03">
    <w:name w:val="Heading 5"/>
    <w:basedOn w:val="398"/>
    <w:next w:val="398"/>
    <w:link w:val="53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04">
    <w:name w:val="Heading 6"/>
    <w:basedOn w:val="398"/>
    <w:next w:val="398"/>
    <w:link w:val="539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05">
    <w:name w:val="Heading 7"/>
    <w:basedOn w:val="398"/>
    <w:next w:val="398"/>
    <w:link w:val="540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06">
    <w:name w:val="Heading 8"/>
    <w:basedOn w:val="398"/>
    <w:link w:val="595"/>
    <w:qFormat/>
    <w:uiPriority w:val="1"/>
    <w:rPr>
      <w:b/>
      <w:bCs/>
      <w:sz w:val="24"/>
      <w:szCs w:val="24"/>
      <w:lang w:val="en-US"/>
    </w:rPr>
    <w:pPr>
      <w:ind w:left="100"/>
      <w:spacing w:lineRule="auto" w:line="240" w:after="0" w:before="51"/>
      <w:widowControl w:val="off"/>
      <w:outlineLvl w:val="7"/>
    </w:pPr>
  </w:style>
  <w:style w:type="paragraph" w:styleId="407">
    <w:name w:val="Heading 9"/>
    <w:basedOn w:val="398"/>
    <w:next w:val="398"/>
    <w:link w:val="54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08" w:default="1">
    <w:name w:val="Default Paragraph Font"/>
    <w:uiPriority w:val="1"/>
    <w:semiHidden/>
    <w:unhideWhenUsed/>
  </w:style>
  <w:style w:type="table" w:styleId="40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10" w:default="1">
    <w:name w:val="No List"/>
    <w:uiPriority w:val="99"/>
    <w:semiHidden/>
    <w:unhideWhenUsed/>
  </w:style>
  <w:style w:type="character" w:styleId="411" w:customStyle="1">
    <w:name w:val="Heading 1 Char"/>
    <w:basedOn w:val="408"/>
    <w:uiPriority w:val="9"/>
    <w:rPr>
      <w:rFonts w:ascii="Arial" w:hAnsi="Arial" w:cs="Arial" w:eastAsia="Arial"/>
      <w:sz w:val="40"/>
      <w:szCs w:val="40"/>
    </w:rPr>
  </w:style>
  <w:style w:type="character" w:styleId="412" w:customStyle="1">
    <w:name w:val="Heading 2 Char"/>
    <w:basedOn w:val="408"/>
    <w:uiPriority w:val="9"/>
    <w:rPr>
      <w:rFonts w:ascii="Arial" w:hAnsi="Arial" w:cs="Arial" w:eastAsia="Arial"/>
      <w:sz w:val="34"/>
    </w:rPr>
  </w:style>
  <w:style w:type="character" w:styleId="413" w:customStyle="1">
    <w:name w:val="Heading 3 Char"/>
    <w:basedOn w:val="408"/>
    <w:uiPriority w:val="9"/>
    <w:rPr>
      <w:rFonts w:ascii="Arial" w:hAnsi="Arial" w:cs="Arial" w:eastAsia="Arial"/>
      <w:sz w:val="30"/>
      <w:szCs w:val="30"/>
    </w:rPr>
  </w:style>
  <w:style w:type="character" w:styleId="414" w:customStyle="1">
    <w:name w:val="Heading 4 Char"/>
    <w:basedOn w:val="408"/>
    <w:uiPriority w:val="9"/>
    <w:rPr>
      <w:rFonts w:ascii="Arial" w:hAnsi="Arial" w:cs="Arial" w:eastAsia="Arial"/>
      <w:b/>
      <w:bCs/>
      <w:sz w:val="26"/>
      <w:szCs w:val="26"/>
    </w:rPr>
  </w:style>
  <w:style w:type="character" w:styleId="415" w:customStyle="1">
    <w:name w:val="Heading 5 Char"/>
    <w:basedOn w:val="408"/>
    <w:uiPriority w:val="9"/>
    <w:rPr>
      <w:rFonts w:ascii="Arial" w:hAnsi="Arial" w:cs="Arial" w:eastAsia="Arial"/>
      <w:b/>
      <w:bCs/>
      <w:sz w:val="24"/>
      <w:szCs w:val="24"/>
    </w:rPr>
  </w:style>
  <w:style w:type="character" w:styleId="416" w:customStyle="1">
    <w:name w:val="Heading 6 Char"/>
    <w:basedOn w:val="408"/>
    <w:uiPriority w:val="9"/>
    <w:rPr>
      <w:rFonts w:ascii="Arial" w:hAnsi="Arial" w:cs="Arial" w:eastAsia="Arial"/>
      <w:b/>
      <w:bCs/>
      <w:sz w:val="22"/>
      <w:szCs w:val="22"/>
    </w:rPr>
  </w:style>
  <w:style w:type="character" w:styleId="417" w:customStyle="1">
    <w:name w:val="Heading 7 Char"/>
    <w:basedOn w:val="40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18" w:customStyle="1">
    <w:name w:val="Heading 9 Char"/>
    <w:basedOn w:val="408"/>
    <w:uiPriority w:val="9"/>
    <w:rPr>
      <w:rFonts w:ascii="Arial" w:hAnsi="Arial" w:cs="Arial" w:eastAsia="Arial"/>
      <w:i/>
      <w:iCs/>
      <w:sz w:val="21"/>
      <w:szCs w:val="21"/>
    </w:rPr>
  </w:style>
  <w:style w:type="character" w:styleId="419" w:customStyle="1">
    <w:name w:val="Title Char"/>
    <w:basedOn w:val="408"/>
    <w:uiPriority w:val="10"/>
    <w:rPr>
      <w:sz w:val="48"/>
      <w:szCs w:val="48"/>
    </w:rPr>
  </w:style>
  <w:style w:type="character" w:styleId="420" w:customStyle="1">
    <w:name w:val="Subtitle Char"/>
    <w:basedOn w:val="408"/>
    <w:uiPriority w:val="11"/>
    <w:rPr>
      <w:sz w:val="24"/>
      <w:szCs w:val="24"/>
    </w:rPr>
  </w:style>
  <w:style w:type="character" w:styleId="421" w:customStyle="1">
    <w:name w:val="Quote Char"/>
    <w:uiPriority w:val="29"/>
    <w:rPr>
      <w:i/>
    </w:rPr>
  </w:style>
  <w:style w:type="character" w:styleId="422" w:customStyle="1">
    <w:name w:val="Intense Quote Char"/>
    <w:uiPriority w:val="30"/>
    <w:rPr>
      <w:i/>
    </w:rPr>
  </w:style>
  <w:style w:type="character" w:styleId="423" w:customStyle="1">
    <w:name w:val="Header Char"/>
    <w:basedOn w:val="408"/>
    <w:uiPriority w:val="99"/>
  </w:style>
  <w:style w:type="character" w:styleId="424" w:customStyle="1">
    <w:name w:val="Footer Char"/>
    <w:basedOn w:val="408"/>
    <w:uiPriority w:val="99"/>
  </w:style>
  <w:style w:type="paragraph" w:styleId="425">
    <w:name w:val="Caption"/>
    <w:basedOn w:val="398"/>
    <w:next w:val="398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26" w:customStyle="1">
    <w:name w:val="Caption Char"/>
    <w:uiPriority w:val="99"/>
  </w:style>
  <w:style w:type="table" w:styleId="427" w:customStyle="1">
    <w:name w:val="Table Grid Light"/>
    <w:basedOn w:val="409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428">
    <w:name w:val="Plain Table 1"/>
    <w:basedOn w:val="409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29">
    <w:name w:val="Plain Table 2"/>
    <w:basedOn w:val="409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30">
    <w:name w:val="Plain Table 3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31">
    <w:name w:val="Plain Table 4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2">
    <w:name w:val="Plain Table 5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33">
    <w:name w:val="Grid Table 1 Light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4" w:customStyle="1">
    <w:name w:val="Grid Table 1 Light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5" w:customStyle="1">
    <w:name w:val="Grid Table 1 Light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6" w:customStyle="1">
    <w:name w:val="Grid Table 1 Light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7" w:customStyle="1">
    <w:name w:val="Grid Table 1 Light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8" w:customStyle="1">
    <w:name w:val="Grid Table 1 Light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9" w:customStyle="1">
    <w:name w:val="Grid Table 1 Light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0">
    <w:name w:val="Grid Table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41" w:customStyle="1">
    <w:name w:val="Grid Table 2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42" w:customStyle="1">
    <w:name w:val="Grid Table 2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43" w:customStyle="1">
    <w:name w:val="Grid Table 2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44" w:customStyle="1">
    <w:name w:val="Grid Table 2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45" w:customStyle="1">
    <w:name w:val="Grid Table 2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46" w:customStyle="1">
    <w:name w:val="Grid Table 2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47">
    <w:name w:val="Grid Table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8" w:customStyle="1">
    <w:name w:val="Grid Table 3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49" w:customStyle="1">
    <w:name w:val="Grid Table 3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0" w:customStyle="1">
    <w:name w:val="Grid Table 3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1" w:customStyle="1">
    <w:name w:val="Grid Table 3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2" w:customStyle="1">
    <w:name w:val="Grid Table 3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3" w:customStyle="1">
    <w:name w:val="Grid Table 3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4">
    <w:name w:val="Grid Table 4"/>
    <w:basedOn w:val="4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455" w:customStyle="1">
    <w:name w:val="Grid Table 4 - Accent 1"/>
    <w:basedOn w:val="4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456" w:customStyle="1">
    <w:name w:val="Grid Table 4 - Accent 2"/>
    <w:basedOn w:val="4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457" w:customStyle="1">
    <w:name w:val="Grid Table 4 - Accent 3"/>
    <w:basedOn w:val="4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458" w:customStyle="1">
    <w:name w:val="Grid Table 4 - Accent 4"/>
    <w:basedOn w:val="4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459" w:customStyle="1">
    <w:name w:val="Grid Table 4 - Accent 5"/>
    <w:basedOn w:val="4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460" w:customStyle="1">
    <w:name w:val="Grid Table 4 - Accent 6"/>
    <w:basedOn w:val="409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461">
    <w:name w:val="Grid Table 5 Dark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462" w:customStyle="1">
    <w:name w:val="Grid Table 5 Dark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AE5F1" w:themeFill="accent1" w:themeFillTint="34"/>
    </w:tblPr>
    <w:tblStylePr w:type="band1Horz">
      <w:tcPr>
        <w:shd w:val="clear" w:color="auto" w:fill="AEC4E0" w:themeFill="accent1" w:themeFillTint="75"/>
      </w:tcPr>
    </w:tblStylePr>
    <w:tblStylePr w:type="band1Vert">
      <w:tcPr>
        <w:shd w:val="clear" w:color="auto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F81BD" w:themeFill="accent1"/>
        <w:tcBorders>
          <w:top w:val="single" w:color="FFFFFF" w:sz="4" w:space="0" w:themeColor="light1"/>
        </w:tcBorders>
      </w:tcPr>
    </w:tblStylePr>
  </w:style>
  <w:style w:type="table" w:styleId="463" w:customStyle="1">
    <w:name w:val="Grid Table 5 Dark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2DCDC" w:themeFill="accent2" w:themeFillTint="32"/>
    </w:tblPr>
    <w:tblStylePr w:type="band1Horz">
      <w:tcPr>
        <w:shd w:val="clear" w:color="auto" w:fill="E2AEAD" w:themeFill="accent2" w:themeFillTint="75"/>
      </w:tcPr>
    </w:tblStylePr>
    <w:tblStylePr w:type="band1Vert">
      <w:tcPr>
        <w:shd w:val="clear" w:color="auto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C0504D" w:themeFill="accent2"/>
        <w:tcBorders>
          <w:top w:val="single" w:color="FFFFFF" w:sz="4" w:space="0" w:themeColor="light1"/>
        </w:tcBorders>
      </w:tcPr>
    </w:tblStylePr>
  </w:style>
  <w:style w:type="table" w:styleId="464" w:customStyle="1">
    <w:name w:val="Grid Table 5 Dark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AF1DC" w:themeFill="accent3" w:themeFillTint="34"/>
    </w:tblPr>
    <w:tblStylePr w:type="band1Horz">
      <w:tcPr>
        <w:shd w:val="clear" w:color="auto" w:fill="D0DFB2" w:themeFill="accent3" w:themeFillTint="75"/>
      </w:tcPr>
    </w:tblStylePr>
    <w:tblStylePr w:type="band1Vert">
      <w:tcPr>
        <w:shd w:val="clear" w:color="auto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9BBB59" w:themeFill="accent3"/>
        <w:tcBorders>
          <w:top w:val="single" w:color="FFFFFF" w:sz="4" w:space="0" w:themeColor="light1"/>
        </w:tcBorders>
      </w:tcPr>
    </w:tblStylePr>
  </w:style>
  <w:style w:type="table" w:styleId="465" w:customStyle="1">
    <w:name w:val="Grid Table 5 Dark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5DFEC" w:themeFill="accent4" w:themeFillTint="34"/>
    </w:tblPr>
    <w:tblStylePr w:type="band1Horz">
      <w:tcPr>
        <w:shd w:val="clear" w:color="auto" w:fill="C4B7D4" w:themeFill="accent4" w:themeFillTint="75"/>
      </w:tcPr>
    </w:tblStylePr>
    <w:tblStylePr w:type="band1Vert">
      <w:tcPr>
        <w:shd w:val="clear" w:color="auto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8064A2" w:themeFill="accent4"/>
        <w:tcBorders>
          <w:top w:val="single" w:color="FFFFFF" w:sz="4" w:space="0" w:themeColor="light1"/>
        </w:tcBorders>
      </w:tcPr>
    </w:tblStylePr>
  </w:style>
  <w:style w:type="table" w:styleId="466" w:customStyle="1">
    <w:name w:val="Grid Table 5 Dark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AEEF3" w:themeFill="accent5" w:themeFillTint="34"/>
    </w:tblPr>
    <w:tblStylePr w:type="band1Horz">
      <w:tcPr>
        <w:shd w:val="clear" w:color="auto" w:fill="ACD8E4" w:themeFill="accent5" w:themeFillTint="75"/>
      </w:tcPr>
    </w:tblStylePr>
    <w:tblStylePr w:type="band1Vert">
      <w:tcPr>
        <w:shd w:val="clear" w:color="auto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BACC6" w:themeFill="accent5"/>
        <w:tcBorders>
          <w:top w:val="single" w:color="FFFFFF" w:sz="4" w:space="0" w:themeColor="light1"/>
        </w:tcBorders>
      </w:tcPr>
    </w:tblStylePr>
  </w:style>
  <w:style w:type="table" w:styleId="467" w:customStyle="1">
    <w:name w:val="Grid Table 5 Dark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DE9D8" w:themeFill="accent6" w:themeFillTint="34"/>
    </w:tblPr>
    <w:tblStylePr w:type="band1Horz">
      <w:tcPr>
        <w:shd w:val="clear" w:color="auto" w:fill="FBCEAA" w:themeFill="accent6" w:themeFillTint="75"/>
      </w:tcPr>
    </w:tblStylePr>
    <w:tblStylePr w:type="band1Vert">
      <w:tcPr>
        <w:shd w:val="clear" w:color="auto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79646" w:themeFill="accent6"/>
        <w:tcBorders>
          <w:top w:val="single" w:color="FFFFFF" w:sz="4" w:space="0" w:themeColor="light1"/>
        </w:tcBorders>
      </w:tcPr>
    </w:tblStylePr>
  </w:style>
  <w:style w:type="table" w:styleId="468">
    <w:name w:val="Grid Table 6 Colorful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469" w:customStyle="1">
    <w:name w:val="Grid Table 6 Colorful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auto" w:fill="DAE5F1" w:themeFill="accent1" w:themeFillTint="34"/>
      </w:tcPr>
    </w:tblStylePr>
    <w:tblStylePr w:type="band1Vert"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470" w:customStyle="1">
    <w:name w:val="Grid Table 6 Colorful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F2DCDC" w:themeFill="accent2" w:themeFillTint="32"/>
      </w:tcPr>
    </w:tblStylePr>
    <w:tblStylePr w:type="band1Vert"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471" w:customStyle="1">
    <w:name w:val="Grid Table 6 Colorful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auto" w:fill="EAF1DC" w:themeFill="accent3" w:themeFillTint="34"/>
      </w:tcPr>
    </w:tblStylePr>
    <w:tblStylePr w:type="band1Vert"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472" w:customStyle="1">
    <w:name w:val="Grid Table 6 Colorful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E5DFEC" w:themeFill="accent4" w:themeFillTint="34"/>
      </w:tcPr>
    </w:tblStylePr>
    <w:tblStylePr w:type="band1Vert"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473" w:customStyle="1">
    <w:name w:val="Grid Table 6 Colorful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DAEEF3" w:themeFill="accent5" w:themeFillTint="34"/>
      </w:tcPr>
    </w:tblStylePr>
    <w:tblStylePr w:type="band1Vert"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474" w:customStyle="1">
    <w:name w:val="Grid Table 6 Colorful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FDE9D8" w:themeFill="accent6" w:themeFillTint="34"/>
      </w:tcPr>
    </w:tblStylePr>
    <w:tblStylePr w:type="band1Vert"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475">
    <w:name w:val="Grid Table 7 Colorful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476" w:customStyle="1">
    <w:name w:val="Grid Table 7 Colorful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auto" w:fill="DAE5F1" w:themeFill="accent1" w:themeFillTint="34"/>
      </w:tcPr>
    </w:tblStylePr>
    <w:tblStylePr w:type="band1Vert"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auto" w:fill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477" w:customStyle="1">
    <w:name w:val="Grid Table 7 Colorful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F2DCDC" w:themeFill="accent2" w:themeFillTint="32"/>
      </w:tcPr>
    </w:tblStylePr>
    <w:tblStylePr w:type="band1Vert"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78" w:customStyle="1">
    <w:name w:val="Grid Table 7 Colorful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auto" w:fill="EAF1DC" w:themeFill="accent3" w:themeFillTint="34"/>
      </w:tcPr>
    </w:tblStylePr>
    <w:tblStylePr w:type="band1Vert"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auto" w:fill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79" w:customStyle="1">
    <w:name w:val="Grid Table 7 Colorful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E5DFEC" w:themeFill="accent4" w:themeFillTint="34"/>
      </w:tcPr>
    </w:tblStylePr>
    <w:tblStylePr w:type="band1Vert"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80" w:customStyle="1">
    <w:name w:val="Grid Table 7 Colorful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DAEEF3" w:themeFill="accent5" w:themeFillTint="34"/>
      </w:tcPr>
    </w:tblStylePr>
    <w:tblStylePr w:type="band1Vert"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auto" w:fill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481" w:customStyle="1">
    <w:name w:val="Grid Table 7 Colorful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auto" w:fill="FDE9D8" w:themeFill="accent6" w:themeFillTint="34"/>
      </w:tcPr>
    </w:tblStylePr>
    <w:tblStylePr w:type="band1Vert"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auto" w:fill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482">
    <w:name w:val="List Table 1 Light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483" w:customStyle="1">
    <w:name w:val="List Table 1 Light - Accent 1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484" w:customStyle="1">
    <w:name w:val="List Table 1 Light - Accent 2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485" w:customStyle="1">
    <w:name w:val="List Table 1 Light - Accent 3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486" w:customStyle="1">
    <w:name w:val="List Table 1 Light - Accent 4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487" w:customStyle="1">
    <w:name w:val="List Table 1 Light - Accent 5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88" w:customStyle="1">
    <w:name w:val="List Table 1 Light - Accent 6"/>
    <w:basedOn w:val="409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89">
    <w:name w:val="List Table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490" w:customStyle="1">
    <w:name w:val="List Table 2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491" w:customStyle="1">
    <w:name w:val="List Table 2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492" w:customStyle="1">
    <w:name w:val="List Table 2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493" w:customStyle="1">
    <w:name w:val="List Table 2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494" w:customStyle="1">
    <w:name w:val="List Table 2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495" w:customStyle="1">
    <w:name w:val="List Table 2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496">
    <w:name w:val="List Table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 w:customStyle="1">
    <w:name w:val="List Table 3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8" w:customStyle="1">
    <w:name w:val="List Table 3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9" w:customStyle="1">
    <w:name w:val="List Table 3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0" w:customStyle="1">
    <w:name w:val="List Table 3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1" w:customStyle="1">
    <w:name w:val="List Table 3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2" w:customStyle="1">
    <w:name w:val="List Table 3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3">
    <w:name w:val="List Table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List Table 4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5" w:customStyle="1">
    <w:name w:val="List Table 4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List Table 4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List Table 4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List Table 4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List Table 4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>
    <w:name w:val="List Table 5 Dark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11" w:customStyle="1">
    <w:name w:val="List Table 5 Dark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color="auto" w:fill="4F81BD" w:themeFill="accent1"/>
    </w:tblPr>
    <w:tblStylePr w:type="band1Horz">
      <w:tcPr>
        <w:shd w:val="clear" w:color="auto" w:fill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12" w:customStyle="1">
    <w:name w:val="List Table 5 Dark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color="auto" w:fill="D99695" w:themeFill="accent2" w:themeFillTint="97"/>
    </w:tblPr>
    <w:tblStylePr w:type="band1Horz">
      <w:tcPr>
        <w:shd w:val="clear" w:color="auto" w:fill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13" w:customStyle="1">
    <w:name w:val="List Table 5 Dark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color="auto" w:fill="C3D69B" w:themeFill="accent3" w:themeFillTint="98"/>
    </w:tblPr>
    <w:tblStylePr w:type="band1Horz">
      <w:tcPr>
        <w:shd w:val="clear" w:color="auto" w:fill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14" w:customStyle="1">
    <w:name w:val="List Table 5 Dark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color="auto" w:fill="B2A1C6" w:themeFill="accent4" w:themeFillTint="9A"/>
    </w:tblPr>
    <w:tblStylePr w:type="band1Horz">
      <w:tcPr>
        <w:shd w:val="clear" w:color="auto" w:fill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15" w:customStyle="1">
    <w:name w:val="List Table 5 Dark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color="auto" w:fill="92CCDC" w:themeFill="accent5" w:themeFillTint="9A"/>
    </w:tblPr>
    <w:tblStylePr w:type="band1Horz">
      <w:tcPr>
        <w:shd w:val="clear" w:color="auto" w:fill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16" w:customStyle="1">
    <w:name w:val="List Table 5 Dark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color="auto" w:fill="FAC090" w:themeFill="accent6" w:themeFillTint="98"/>
    </w:tblPr>
    <w:tblStylePr w:type="band1Horz">
      <w:tcPr>
        <w:shd w:val="clear" w:color="auto" w:fill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17">
    <w:name w:val="List Table 6 Colorful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18" w:customStyle="1">
    <w:name w:val="List Table 6 Colorful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4F81BD" w:sz="4" w:space="0" w:themeColor="accent1"/>
        <w:bottom w:val="single" w:color="4F81BD" w:sz="4" w:space="0" w:themeColor="accent1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19" w:customStyle="1">
    <w:name w:val="List Table 6 Colorful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D99695" w:sz="4" w:space="0" w:themeColor="accent2" w:themeTint="97"/>
        <w:bottom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20" w:customStyle="1">
    <w:name w:val="List Table 6 Colorful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C3D69B" w:sz="4" w:space="0" w:themeColor="accent3" w:themeTint="98"/>
        <w:bottom w:val="single" w:color="C3D69B" w:sz="4" w:space="0" w:themeColor="accent3" w:themeTint="98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21" w:customStyle="1">
    <w:name w:val="List Table 6 Colorful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B2A1C6" w:sz="4" w:space="0" w:themeColor="accent4" w:themeTint="9A"/>
        <w:bottom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22" w:customStyle="1">
    <w:name w:val="List Table 6 Colorful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92CCDC" w:sz="4" w:space="0" w:themeColor="accent5" w:themeTint="9A"/>
        <w:bottom w:val="single" w:color="92CCDC" w:sz="4" w:space="0" w:themeColor="accent5" w:themeTint="9A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23" w:customStyle="1">
    <w:name w:val="List Table 6 Colorful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top w:val="single" w:color="FAC090" w:sz="4" w:space="0" w:themeColor="accent6" w:themeTint="98"/>
        <w:bottom w:val="single" w:color="FAC090" w:sz="4" w:space="0" w:themeColor="accent6" w:themeTint="98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24">
    <w:name w:val="List Table 7 Colorful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List Table 7 Colorful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4F81BD" w:sz="4" w:space="0" w:themeColor="accent1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auto" w:fill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List Table 7 Colorful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27" w:customStyle="1">
    <w:name w:val="List Table 7 Colorful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3D69B" w:sz="4" w:space="0" w:themeColor="accent3" w:themeTint="98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List Table 7 Colorful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List Table 7 Colorful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2CCDC" w:sz="4" w:space="0" w:themeColor="accent5" w:themeTint="9A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List Table 7 Colorful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AC090" w:sz="4" w:space="0" w:themeColor="accent6" w:themeTint="98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Lined - Accent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532" w:customStyle="1">
    <w:name w:val="Bordered &amp; Lined - Accent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character" w:styleId="533" w:customStyle="1">
    <w:name w:val="Footnote Text Char"/>
    <w:uiPriority w:val="99"/>
    <w:rPr>
      <w:sz w:val="18"/>
    </w:rPr>
  </w:style>
  <w:style w:type="character" w:styleId="534" w:customStyle="1">
    <w:name w:val="Titre 1 Car"/>
    <w:basedOn w:val="408"/>
    <w:link w:val="399"/>
    <w:uiPriority w:val="9"/>
    <w:rPr>
      <w:rFonts w:ascii="Arial" w:hAnsi="Arial" w:cs="Arial" w:eastAsia="Arial"/>
      <w:sz w:val="40"/>
      <w:szCs w:val="40"/>
    </w:rPr>
  </w:style>
  <w:style w:type="character" w:styleId="535" w:customStyle="1">
    <w:name w:val="Titre 2 Car"/>
    <w:basedOn w:val="408"/>
    <w:link w:val="400"/>
    <w:uiPriority w:val="9"/>
    <w:rPr>
      <w:rFonts w:ascii="Arial" w:hAnsi="Arial" w:cs="Arial" w:eastAsia="Arial"/>
      <w:sz w:val="34"/>
    </w:rPr>
  </w:style>
  <w:style w:type="character" w:styleId="536" w:customStyle="1">
    <w:name w:val="Titre 3 Car"/>
    <w:basedOn w:val="408"/>
    <w:link w:val="401"/>
    <w:uiPriority w:val="9"/>
    <w:rPr>
      <w:rFonts w:ascii="Arial" w:hAnsi="Arial" w:cs="Arial" w:eastAsia="Arial"/>
      <w:sz w:val="30"/>
      <w:szCs w:val="30"/>
    </w:rPr>
  </w:style>
  <w:style w:type="character" w:styleId="537" w:customStyle="1">
    <w:name w:val="Titre 4 Car"/>
    <w:basedOn w:val="408"/>
    <w:link w:val="402"/>
    <w:uiPriority w:val="9"/>
    <w:rPr>
      <w:rFonts w:ascii="Arial" w:hAnsi="Arial" w:cs="Arial" w:eastAsia="Arial"/>
      <w:b/>
      <w:bCs/>
      <w:sz w:val="26"/>
      <w:szCs w:val="26"/>
    </w:rPr>
  </w:style>
  <w:style w:type="character" w:styleId="538" w:customStyle="1">
    <w:name w:val="Titre 5 Car"/>
    <w:basedOn w:val="408"/>
    <w:link w:val="403"/>
    <w:uiPriority w:val="9"/>
    <w:rPr>
      <w:rFonts w:ascii="Arial" w:hAnsi="Arial" w:cs="Arial" w:eastAsia="Arial"/>
      <w:b/>
      <w:bCs/>
      <w:sz w:val="24"/>
      <w:szCs w:val="24"/>
    </w:rPr>
  </w:style>
  <w:style w:type="character" w:styleId="539" w:customStyle="1">
    <w:name w:val="Titre 6 Car"/>
    <w:basedOn w:val="408"/>
    <w:link w:val="404"/>
    <w:uiPriority w:val="9"/>
    <w:rPr>
      <w:rFonts w:ascii="Arial" w:hAnsi="Arial" w:cs="Arial" w:eastAsia="Arial"/>
      <w:b/>
      <w:bCs/>
      <w:sz w:val="22"/>
      <w:szCs w:val="22"/>
    </w:rPr>
  </w:style>
  <w:style w:type="character" w:styleId="540" w:customStyle="1">
    <w:name w:val="Titre 7 Car"/>
    <w:basedOn w:val="408"/>
    <w:link w:val="40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41" w:customStyle="1">
    <w:name w:val="Heading 8 Char"/>
    <w:basedOn w:val="408"/>
    <w:uiPriority w:val="9"/>
    <w:rPr>
      <w:rFonts w:ascii="Arial" w:hAnsi="Arial" w:cs="Arial" w:eastAsia="Arial"/>
      <w:i/>
      <w:iCs/>
      <w:sz w:val="22"/>
      <w:szCs w:val="22"/>
    </w:rPr>
  </w:style>
  <w:style w:type="character" w:styleId="542" w:customStyle="1">
    <w:name w:val="Titre 9 Car"/>
    <w:basedOn w:val="408"/>
    <w:link w:val="407"/>
    <w:uiPriority w:val="9"/>
    <w:rPr>
      <w:rFonts w:ascii="Arial" w:hAnsi="Arial" w:cs="Arial" w:eastAsia="Arial"/>
      <w:i/>
      <w:iCs/>
      <w:sz w:val="21"/>
      <w:szCs w:val="21"/>
    </w:rPr>
  </w:style>
  <w:style w:type="paragraph" w:styleId="543">
    <w:name w:val="List Paragraph"/>
    <w:basedOn w:val="398"/>
    <w:qFormat/>
    <w:uiPriority w:val="34"/>
    <w:pPr>
      <w:contextualSpacing w:val="true"/>
      <w:ind w:left="720"/>
    </w:pPr>
  </w:style>
  <w:style w:type="paragraph" w:styleId="544">
    <w:name w:val="No Spacing"/>
    <w:qFormat/>
    <w:uiPriority w:val="1"/>
    <w:pPr>
      <w:spacing w:lineRule="auto" w:line="240" w:after="0"/>
    </w:pPr>
  </w:style>
  <w:style w:type="paragraph" w:styleId="545">
    <w:name w:val="Title"/>
    <w:basedOn w:val="398"/>
    <w:next w:val="398"/>
    <w:link w:val="546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46" w:customStyle="1">
    <w:name w:val="Titre Car"/>
    <w:basedOn w:val="408"/>
    <w:link w:val="545"/>
    <w:uiPriority w:val="10"/>
    <w:rPr>
      <w:sz w:val="48"/>
      <w:szCs w:val="48"/>
    </w:rPr>
  </w:style>
  <w:style w:type="paragraph" w:styleId="547">
    <w:name w:val="Subtitle"/>
    <w:basedOn w:val="398"/>
    <w:next w:val="398"/>
    <w:link w:val="548"/>
    <w:qFormat/>
    <w:uiPriority w:val="11"/>
    <w:rPr>
      <w:sz w:val="24"/>
      <w:szCs w:val="24"/>
    </w:rPr>
    <w:pPr>
      <w:spacing w:before="200"/>
    </w:pPr>
  </w:style>
  <w:style w:type="character" w:styleId="548" w:customStyle="1">
    <w:name w:val="Sous-titre Car"/>
    <w:basedOn w:val="408"/>
    <w:link w:val="547"/>
    <w:uiPriority w:val="11"/>
    <w:rPr>
      <w:sz w:val="24"/>
      <w:szCs w:val="24"/>
    </w:rPr>
  </w:style>
  <w:style w:type="paragraph" w:styleId="549">
    <w:name w:val="Quote"/>
    <w:basedOn w:val="398"/>
    <w:next w:val="398"/>
    <w:link w:val="550"/>
    <w:qFormat/>
    <w:uiPriority w:val="29"/>
    <w:rPr>
      <w:i/>
    </w:rPr>
    <w:pPr>
      <w:ind w:left="720" w:right="720"/>
    </w:pPr>
  </w:style>
  <w:style w:type="character" w:styleId="550" w:customStyle="1">
    <w:name w:val="Citation Car"/>
    <w:link w:val="549"/>
    <w:uiPriority w:val="29"/>
    <w:rPr>
      <w:i/>
    </w:rPr>
  </w:style>
  <w:style w:type="paragraph" w:styleId="551">
    <w:name w:val="Intense Quote"/>
    <w:basedOn w:val="398"/>
    <w:next w:val="398"/>
    <w:link w:val="552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52" w:customStyle="1">
    <w:name w:val="Citation intense Car"/>
    <w:link w:val="551"/>
    <w:uiPriority w:val="30"/>
    <w:rPr>
      <w:i/>
    </w:rPr>
  </w:style>
  <w:style w:type="paragraph" w:styleId="553">
    <w:name w:val="Header"/>
    <w:basedOn w:val="398"/>
    <w:link w:val="554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54" w:customStyle="1">
    <w:name w:val="En-tête Car"/>
    <w:basedOn w:val="408"/>
    <w:link w:val="553"/>
    <w:uiPriority w:val="99"/>
  </w:style>
  <w:style w:type="paragraph" w:styleId="555">
    <w:name w:val="Footer"/>
    <w:basedOn w:val="398"/>
    <w:link w:val="55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56" w:customStyle="1">
    <w:name w:val="Pied de page Car"/>
    <w:basedOn w:val="408"/>
    <w:link w:val="555"/>
    <w:uiPriority w:val="99"/>
  </w:style>
  <w:style w:type="table" w:styleId="557" w:customStyle="1">
    <w:name w:val="Lined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558" w:customStyle="1">
    <w:name w:val="Lined - Accent 1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559" w:customStyle="1">
    <w:name w:val="Lined - Accent 2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560" w:customStyle="1">
    <w:name w:val="Lined - Accent 3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561" w:customStyle="1">
    <w:name w:val="Lined - Accent 4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62" w:customStyle="1">
    <w:name w:val="Lined - Accent 5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63" w:customStyle="1">
    <w:name w:val="Lined - Accent 6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564" w:customStyle="1">
    <w:name w:val="Bordered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565" w:customStyle="1">
    <w:name w:val="Bordered - Accent 1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566" w:customStyle="1">
    <w:name w:val="Bordered - Accent 2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567" w:customStyle="1">
    <w:name w:val="Bordered - Accent 3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68" w:customStyle="1">
    <w:name w:val="Bordered - Accent 4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69" w:customStyle="1">
    <w:name w:val="Bordered - Accent 5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70" w:customStyle="1">
    <w:name w:val="Bordered - Accent 6"/>
    <w:basedOn w:val="409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71" w:customStyle="1">
    <w:name w:val="Bordered &amp; Lined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572" w:customStyle="1">
    <w:name w:val="Bordered &amp; Lined - Accent 1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573" w:customStyle="1">
    <w:name w:val="Bordered &amp; Lined - Accent 2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574" w:customStyle="1">
    <w:name w:val="Bordered &amp; Lined - Accent 3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575" w:customStyle="1">
    <w:name w:val="Bordered &amp; Lined - Accent 4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76" w:customStyle="1">
    <w:name w:val="Bordered &amp; Lined - Accent 5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77" w:customStyle="1">
    <w:name w:val="Bordered &amp; Lined - Accent 6"/>
    <w:basedOn w:val="409"/>
    <w:uiPriority w:val="99"/>
    <w:rPr>
      <w:color w:val="404040"/>
      <w:sz w:val="20"/>
      <w:szCs w:val="20"/>
      <w:lang w:eastAsia="fr-FR"/>
    </w:rPr>
    <w:pPr>
      <w:spacing w:lineRule="auto" w:line="240" w:after="0"/>
    </w:pPr>
    <w:tblPr>
      <w:tblStyleRowBandSize w:val="1"/>
      <w:tblStyleColBandSize w:val="1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578">
    <w:name w:val="Hyperlink"/>
    <w:uiPriority w:val="99"/>
    <w:unhideWhenUsed/>
    <w:rPr>
      <w:color w:val="0000FF" w:themeColor="hyperlink"/>
      <w:u w:val="single"/>
    </w:rPr>
  </w:style>
  <w:style w:type="paragraph" w:styleId="579">
    <w:name w:val="footnote text"/>
    <w:basedOn w:val="398"/>
    <w:link w:val="580"/>
    <w:uiPriority w:val="99"/>
    <w:semiHidden/>
    <w:unhideWhenUsed/>
    <w:rPr>
      <w:sz w:val="18"/>
    </w:rPr>
    <w:pPr>
      <w:spacing w:lineRule="auto" w:line="240" w:after="40"/>
    </w:pPr>
  </w:style>
  <w:style w:type="character" w:styleId="580" w:customStyle="1">
    <w:name w:val="Note de bas de page Car"/>
    <w:link w:val="579"/>
    <w:uiPriority w:val="99"/>
    <w:rPr>
      <w:sz w:val="18"/>
    </w:rPr>
  </w:style>
  <w:style w:type="character" w:styleId="581">
    <w:name w:val="footnote reference"/>
    <w:basedOn w:val="408"/>
    <w:uiPriority w:val="99"/>
    <w:unhideWhenUsed/>
    <w:rPr>
      <w:vertAlign w:val="superscript"/>
    </w:rPr>
  </w:style>
  <w:style w:type="paragraph" w:styleId="582">
    <w:name w:val="toc 1"/>
    <w:basedOn w:val="398"/>
    <w:next w:val="398"/>
    <w:uiPriority w:val="39"/>
    <w:unhideWhenUsed/>
    <w:pPr>
      <w:spacing w:after="57"/>
    </w:pPr>
  </w:style>
  <w:style w:type="paragraph" w:styleId="583">
    <w:name w:val="toc 2"/>
    <w:basedOn w:val="398"/>
    <w:next w:val="398"/>
    <w:uiPriority w:val="39"/>
    <w:unhideWhenUsed/>
    <w:pPr>
      <w:ind w:left="283"/>
      <w:spacing w:after="57"/>
    </w:pPr>
  </w:style>
  <w:style w:type="paragraph" w:styleId="584">
    <w:name w:val="toc 3"/>
    <w:basedOn w:val="398"/>
    <w:next w:val="398"/>
    <w:uiPriority w:val="39"/>
    <w:unhideWhenUsed/>
    <w:pPr>
      <w:ind w:left="567"/>
      <w:spacing w:after="57"/>
    </w:pPr>
  </w:style>
  <w:style w:type="paragraph" w:styleId="585">
    <w:name w:val="toc 4"/>
    <w:basedOn w:val="398"/>
    <w:next w:val="398"/>
    <w:uiPriority w:val="39"/>
    <w:unhideWhenUsed/>
    <w:pPr>
      <w:ind w:left="850"/>
      <w:spacing w:after="57"/>
    </w:pPr>
  </w:style>
  <w:style w:type="paragraph" w:styleId="586">
    <w:name w:val="toc 5"/>
    <w:basedOn w:val="398"/>
    <w:next w:val="398"/>
    <w:uiPriority w:val="39"/>
    <w:unhideWhenUsed/>
    <w:pPr>
      <w:ind w:left="1134"/>
      <w:spacing w:after="57"/>
    </w:pPr>
  </w:style>
  <w:style w:type="paragraph" w:styleId="587">
    <w:name w:val="toc 6"/>
    <w:basedOn w:val="398"/>
    <w:next w:val="398"/>
    <w:uiPriority w:val="39"/>
    <w:unhideWhenUsed/>
    <w:pPr>
      <w:ind w:left="1417"/>
      <w:spacing w:after="57"/>
    </w:pPr>
  </w:style>
  <w:style w:type="paragraph" w:styleId="588">
    <w:name w:val="toc 7"/>
    <w:basedOn w:val="398"/>
    <w:next w:val="398"/>
    <w:uiPriority w:val="39"/>
    <w:unhideWhenUsed/>
    <w:pPr>
      <w:ind w:left="1701"/>
      <w:spacing w:after="57"/>
    </w:pPr>
  </w:style>
  <w:style w:type="paragraph" w:styleId="589">
    <w:name w:val="toc 8"/>
    <w:basedOn w:val="398"/>
    <w:next w:val="398"/>
    <w:uiPriority w:val="39"/>
    <w:unhideWhenUsed/>
    <w:pPr>
      <w:ind w:left="1984"/>
      <w:spacing w:after="57"/>
    </w:pPr>
  </w:style>
  <w:style w:type="paragraph" w:styleId="590">
    <w:name w:val="toc 9"/>
    <w:basedOn w:val="398"/>
    <w:next w:val="398"/>
    <w:uiPriority w:val="39"/>
    <w:unhideWhenUsed/>
    <w:pPr>
      <w:ind w:left="2268"/>
      <w:spacing w:after="57"/>
    </w:pPr>
  </w:style>
  <w:style w:type="paragraph" w:styleId="591">
    <w:name w:val="TOC Heading"/>
    <w:uiPriority w:val="39"/>
    <w:unhideWhenUsed/>
  </w:style>
  <w:style w:type="table" w:styleId="592">
    <w:name w:val="Table Grid"/>
    <w:basedOn w:val="409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paragraph" w:styleId="593">
    <w:name w:val="Balloon Text"/>
    <w:basedOn w:val="398"/>
    <w:link w:val="594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594" w:customStyle="1">
    <w:name w:val="Texte de bulles Car"/>
    <w:basedOn w:val="408"/>
    <w:link w:val="593"/>
    <w:uiPriority w:val="99"/>
    <w:semiHidden/>
    <w:rPr>
      <w:rFonts w:ascii="Tahoma" w:hAnsi="Tahoma" w:cs="Tahoma"/>
      <w:sz w:val="16"/>
      <w:szCs w:val="16"/>
    </w:rPr>
  </w:style>
  <w:style w:type="character" w:styleId="595" w:customStyle="1">
    <w:name w:val="Titre 8 Car"/>
    <w:basedOn w:val="408"/>
    <w:link w:val="406"/>
    <w:uiPriority w:val="1"/>
    <w:rPr>
      <w:rFonts w:ascii="Calibri" w:hAnsi="Calibri" w:eastAsia="Calibri"/>
      <w:b/>
      <w:bCs/>
      <w:sz w:val="24"/>
      <w:szCs w:val="24"/>
      <w:lang w:val="en-US"/>
    </w:rPr>
  </w:style>
  <w:style w:type="character" w:styleId="596">
    <w:name w:val="annotation reference"/>
    <w:basedOn w:val="408"/>
    <w:uiPriority w:val="99"/>
    <w:semiHidden/>
    <w:unhideWhenUsed/>
    <w:rPr>
      <w:sz w:val="16"/>
      <w:szCs w:val="16"/>
    </w:rPr>
  </w:style>
  <w:style w:type="paragraph" w:styleId="597">
    <w:name w:val="annotation text"/>
    <w:basedOn w:val="398"/>
    <w:link w:val="598"/>
    <w:uiPriority w:val="99"/>
    <w:semiHidden/>
    <w:unhideWhenUsed/>
    <w:rPr>
      <w:sz w:val="20"/>
      <w:szCs w:val="20"/>
    </w:rPr>
    <w:pPr>
      <w:spacing w:lineRule="auto" w:line="240"/>
    </w:pPr>
  </w:style>
  <w:style w:type="character" w:styleId="598" w:customStyle="1">
    <w:name w:val="Commentaire Car"/>
    <w:basedOn w:val="408"/>
    <w:link w:val="597"/>
    <w:uiPriority w:val="99"/>
    <w:semiHidden/>
    <w:rPr>
      <w:sz w:val="20"/>
      <w:szCs w:val="20"/>
    </w:rPr>
  </w:style>
  <w:style w:type="paragraph" w:styleId="599">
    <w:name w:val="annotation subject"/>
    <w:basedOn w:val="597"/>
    <w:next w:val="597"/>
    <w:link w:val="600"/>
    <w:uiPriority w:val="99"/>
    <w:semiHidden/>
    <w:unhideWhenUsed/>
    <w:rPr>
      <w:b/>
      <w:bCs/>
    </w:rPr>
  </w:style>
  <w:style w:type="character" w:styleId="600" w:customStyle="1">
    <w:name w:val="Objet du commentaire Car"/>
    <w:basedOn w:val="598"/>
    <w:link w:val="599"/>
    <w:uiPriority w:val="99"/>
    <w:semiHidden/>
    <w:rPr>
      <w:b/>
      <w:bCs/>
      <w:sz w:val="20"/>
      <w:szCs w:val="20"/>
    </w:rPr>
  </w:style>
  <w:style w:type="table" w:styleId="601" w:customStyle="1">
    <w:name w:val="Grille du tableau1"/>
    <w:basedOn w:val="409"/>
    <w:next w:val="592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oleObject" Target="embeddings/oleObject1.bin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oleObject" Target="embeddings/oleObject2.bin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ONLYOFFICE/5.5.3.39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quintin</dc:creator>
  <cp:lastModifiedBy>Didier Ramstein</cp:lastModifiedBy>
  <cp:revision>29</cp:revision>
  <dcterms:created xsi:type="dcterms:W3CDTF">2021-02-14T19:56:00Z</dcterms:created>
  <dcterms:modified xsi:type="dcterms:W3CDTF">2021-12-08T10:05:25Z</dcterms:modified>
</cp:coreProperties>
</file>