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30" w:type="dxa"/>
        <w:tblInd w:w="-567" w:type="dxa"/>
        <w:tblBorders>
          <w:bottom w:val="single" w:sz="8" w:space="0" w:color="3891A7" w:themeColor="accent1"/>
        </w:tblBorders>
        <w:tblCellMar>
          <w:left w:w="70" w:type="dxa"/>
          <w:right w:w="70" w:type="dxa"/>
        </w:tblCellMar>
        <w:tblLook w:val="0000" w:firstRow="0" w:lastRow="0" w:firstColumn="0" w:lastColumn="0" w:noHBand="0" w:noVBand="0"/>
      </w:tblPr>
      <w:tblGrid>
        <w:gridCol w:w="7103"/>
        <w:gridCol w:w="1883"/>
        <w:gridCol w:w="1944"/>
      </w:tblGrid>
      <w:tr w:rsidR="002F24B3" w:rsidRPr="00390467" w14:paraId="4BF33790" w14:textId="77777777" w:rsidTr="002D6CFA">
        <w:trPr>
          <w:trHeight w:val="757"/>
        </w:trPr>
        <w:tc>
          <w:tcPr>
            <w:tcW w:w="7103" w:type="dxa"/>
            <w:vMerge w:val="restart"/>
          </w:tcPr>
          <w:p w14:paraId="3AB283AA" w14:textId="77777777" w:rsidR="002F24B3" w:rsidRPr="002659C2" w:rsidRDefault="00786E18" w:rsidP="00245EA4">
            <w:pPr>
              <w:pStyle w:val="Titre"/>
              <w:spacing w:before="0" w:after="0"/>
              <w:ind w:right="-68"/>
              <w:jc w:val="center"/>
              <w:rPr>
                <w:noProof/>
                <w:lang w:eastAsia="fr-FR"/>
              </w:rPr>
            </w:pPr>
            <w:r w:rsidRPr="002659C2">
              <w:rPr>
                <w:noProof/>
                <w:lang w:eastAsia="fr-FR"/>
              </w:rPr>
              <w:t xml:space="preserve">Concepts et </w:t>
            </w:r>
            <w:r w:rsidR="003C2701" w:rsidRPr="002659C2">
              <w:rPr>
                <w:noProof/>
                <w:lang w:eastAsia="fr-FR"/>
              </w:rPr>
              <w:t xml:space="preserve">chiffres de l’énergie : </w:t>
            </w:r>
            <w:r w:rsidRPr="002659C2">
              <w:rPr>
                <w:noProof/>
                <w:lang w:eastAsia="fr-FR"/>
              </w:rPr>
              <w:t>Sobriété et gestion des matières premières</w:t>
            </w:r>
          </w:p>
          <w:p w14:paraId="6D71EC51" w14:textId="77777777" w:rsidR="002F24B3" w:rsidRPr="008C1B74" w:rsidRDefault="007211F4" w:rsidP="0006610B">
            <w:pPr>
              <w:spacing w:before="120" w:after="20" w:line="240" w:lineRule="auto"/>
              <w:jc w:val="center"/>
              <w:rPr>
                <w:lang w:val="en-GB"/>
              </w:rPr>
            </w:pPr>
            <w:r w:rsidRPr="008C1B74">
              <w:rPr>
                <w:lang w:val="en-GB"/>
              </w:rPr>
              <w:t>Hélène HORSIN MOLINARO</w:t>
            </w:r>
            <w:r w:rsidR="0006610B" w:rsidRPr="008C1B74">
              <w:rPr>
                <w:lang w:val="en-GB"/>
              </w:rPr>
              <w:t xml:space="preserve"> - </w:t>
            </w:r>
            <w:r w:rsidRPr="008C1B74">
              <w:rPr>
                <w:lang w:val="en-GB"/>
              </w:rPr>
              <w:t>Bernard M</w:t>
            </w:r>
            <w:r w:rsidR="004723ED" w:rsidRPr="008C1B74">
              <w:rPr>
                <w:lang w:val="en-GB"/>
              </w:rPr>
              <w:t>ULTON</w:t>
            </w:r>
          </w:p>
        </w:tc>
        <w:tc>
          <w:tcPr>
            <w:tcW w:w="3827" w:type="dxa"/>
            <w:gridSpan w:val="2"/>
            <w:tcBorders>
              <w:bottom w:val="nil"/>
            </w:tcBorders>
          </w:tcPr>
          <w:p w14:paraId="4683DE48" w14:textId="77777777" w:rsidR="002F24B3" w:rsidRPr="00390467" w:rsidRDefault="002F24B3" w:rsidP="0006610B">
            <w:pPr>
              <w:spacing w:before="60" w:after="60" w:line="240" w:lineRule="auto"/>
              <w:jc w:val="center"/>
            </w:pPr>
            <w:r>
              <w:rPr>
                <w:noProof/>
                <w:lang w:eastAsia="fr-FR"/>
              </w:rPr>
              <w:drawing>
                <wp:inline distT="0" distB="0" distL="0" distR="0" wp14:anchorId="1636C982" wp14:editId="4EDD40BD">
                  <wp:extent cx="1827530" cy="547370"/>
                  <wp:effectExtent l="19050" t="0" r="1270" b="0"/>
                  <wp:docPr id="11" name="Image 0" descr="C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I.png"/>
                          <pic:cNvPicPr/>
                        </pic:nvPicPr>
                        <pic:blipFill>
                          <a:blip r:embed="rId8" cstate="print"/>
                          <a:stretch>
                            <a:fillRect/>
                          </a:stretch>
                        </pic:blipFill>
                        <pic:spPr>
                          <a:xfrm>
                            <a:off x="0" y="0"/>
                            <a:ext cx="1827530" cy="547370"/>
                          </a:xfrm>
                          <a:prstGeom prst="rect">
                            <a:avLst/>
                          </a:prstGeom>
                        </pic:spPr>
                      </pic:pic>
                    </a:graphicData>
                  </a:graphic>
                </wp:inline>
              </w:drawing>
            </w:r>
          </w:p>
        </w:tc>
      </w:tr>
      <w:tr w:rsidR="002F24B3" w:rsidRPr="00390467" w14:paraId="4FFC6F18" w14:textId="77777777" w:rsidTr="002D6CFA">
        <w:trPr>
          <w:trHeight w:val="870"/>
        </w:trPr>
        <w:tc>
          <w:tcPr>
            <w:tcW w:w="7103" w:type="dxa"/>
            <w:vMerge/>
          </w:tcPr>
          <w:p w14:paraId="4CA76D1F" w14:textId="77777777" w:rsidR="002F24B3" w:rsidRDefault="002F24B3" w:rsidP="00F038CB">
            <w:pPr>
              <w:pStyle w:val="Titre"/>
              <w:spacing w:after="0"/>
              <w:ind w:right="-70"/>
              <w:jc w:val="center"/>
              <w:rPr>
                <w:noProof/>
                <w:lang w:eastAsia="fr-FR"/>
              </w:rPr>
            </w:pPr>
          </w:p>
        </w:tc>
        <w:tc>
          <w:tcPr>
            <w:tcW w:w="1883" w:type="dxa"/>
            <w:tcBorders>
              <w:top w:val="nil"/>
              <w:bottom w:val="single" w:sz="8" w:space="0" w:color="3891A7" w:themeColor="accent1"/>
              <w:right w:val="nil"/>
            </w:tcBorders>
          </w:tcPr>
          <w:p w14:paraId="4E1227FC" w14:textId="77777777" w:rsidR="002F24B3" w:rsidRDefault="002F24B3" w:rsidP="0006610B">
            <w:pPr>
              <w:spacing w:before="360" w:after="0" w:line="240" w:lineRule="auto"/>
              <w:jc w:val="center"/>
            </w:pPr>
            <w:r>
              <w:rPr>
                <w:rFonts w:ascii="Calibri" w:hAnsi="Calibri"/>
              </w:rPr>
              <w:t>É</w:t>
            </w:r>
            <w:r w:rsidRPr="00390467">
              <w:t xml:space="preserve">dité </w:t>
            </w:r>
            <w:r>
              <w:t>le</w:t>
            </w:r>
          </w:p>
          <w:p w14:paraId="2994D3B4" w14:textId="3F58BF29" w:rsidR="002F24B3" w:rsidRDefault="008C1B74" w:rsidP="008C1B74">
            <w:pPr>
              <w:spacing w:before="0" w:after="20" w:line="240" w:lineRule="auto"/>
              <w:jc w:val="center"/>
              <w:rPr>
                <w:rFonts w:ascii="Calibri" w:hAnsi="Calibri"/>
              </w:rPr>
            </w:pPr>
            <w:r>
              <w:t>03/05</w:t>
            </w:r>
            <w:bookmarkStart w:id="0" w:name="_GoBack"/>
            <w:bookmarkEnd w:id="0"/>
            <w:r w:rsidR="002F24B3" w:rsidRPr="00390467">
              <w:t>/</w:t>
            </w:r>
            <w:r w:rsidR="002F24B3">
              <w:t>20</w:t>
            </w:r>
            <w:r w:rsidR="002102AF">
              <w:t>2</w:t>
            </w:r>
            <w:r>
              <w:t>1</w:t>
            </w:r>
          </w:p>
        </w:tc>
        <w:tc>
          <w:tcPr>
            <w:tcW w:w="1944" w:type="dxa"/>
            <w:tcBorders>
              <w:top w:val="nil"/>
              <w:left w:val="nil"/>
              <w:bottom w:val="single" w:sz="8" w:space="0" w:color="3891A7" w:themeColor="accent1"/>
            </w:tcBorders>
          </w:tcPr>
          <w:p w14:paraId="4D8A5C1C" w14:textId="77777777" w:rsidR="002F24B3" w:rsidRDefault="002F24B3" w:rsidP="0006610B">
            <w:pPr>
              <w:spacing w:before="120" w:after="20" w:line="240" w:lineRule="auto"/>
              <w:jc w:val="right"/>
              <w:rPr>
                <w:rFonts w:ascii="Calibri" w:hAnsi="Calibri"/>
              </w:rPr>
            </w:pPr>
            <w:r w:rsidRPr="002F24B3">
              <w:rPr>
                <w:rFonts w:ascii="Calibri" w:hAnsi="Calibri"/>
                <w:noProof/>
                <w:lang w:eastAsia="fr-FR"/>
              </w:rPr>
              <w:drawing>
                <wp:inline distT="0" distB="0" distL="0" distR="0" wp14:anchorId="19097B90" wp14:editId="1BD6022E">
                  <wp:extent cx="988695" cy="442913"/>
                  <wp:effectExtent l="19050" t="0" r="1905" b="0"/>
                  <wp:docPr id="18" name="Image 0" descr="Logo ENS Paris-Saclay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NS Paris-Saclay_2017.jpg"/>
                          <pic:cNvPicPr/>
                        </pic:nvPicPr>
                        <pic:blipFill>
                          <a:blip r:embed="rId9" cstate="print"/>
                          <a:stretch>
                            <a:fillRect/>
                          </a:stretch>
                        </pic:blipFill>
                        <pic:spPr>
                          <a:xfrm>
                            <a:off x="0" y="0"/>
                            <a:ext cx="988695" cy="442595"/>
                          </a:xfrm>
                          <a:prstGeom prst="rect">
                            <a:avLst/>
                          </a:prstGeom>
                        </pic:spPr>
                      </pic:pic>
                    </a:graphicData>
                  </a:graphic>
                </wp:inline>
              </w:drawing>
            </w:r>
          </w:p>
        </w:tc>
      </w:tr>
    </w:tbl>
    <w:p w14:paraId="223ECC27" w14:textId="77777777" w:rsidR="007211F4" w:rsidRPr="00B0714F" w:rsidRDefault="007211F4" w:rsidP="007211F4">
      <w:pPr>
        <w:rPr>
          <w:rFonts w:ascii="Times New Roman" w:hAnsi="Times New Roman"/>
          <w:i/>
        </w:rPr>
      </w:pPr>
      <w:r w:rsidRPr="00B0714F">
        <w:rPr>
          <w:i/>
        </w:rPr>
        <w:t>Le dossier « </w:t>
      </w:r>
      <w:r w:rsidR="00786E18">
        <w:rPr>
          <w:i/>
        </w:rPr>
        <w:t>Concepts et</w:t>
      </w:r>
      <w:r w:rsidR="00786E18" w:rsidRPr="00B0714F">
        <w:rPr>
          <w:i/>
        </w:rPr>
        <w:t xml:space="preserve"> </w:t>
      </w:r>
      <w:r w:rsidRPr="00B0714F">
        <w:rPr>
          <w:i/>
        </w:rPr>
        <w:t xml:space="preserve">chiffres de l'énergie » est </w:t>
      </w:r>
      <w:proofErr w:type="spellStart"/>
      <w:proofErr w:type="gramStart"/>
      <w:r w:rsidRPr="00B0714F">
        <w:rPr>
          <w:i/>
        </w:rPr>
        <w:t>co</w:t>
      </w:r>
      <w:proofErr w:type="spellEnd"/>
      <w:r w:rsidRPr="00B0714F">
        <w:rPr>
          <w:i/>
        </w:rPr>
        <w:t>-rédigé</w:t>
      </w:r>
      <w:proofErr w:type="gramEnd"/>
      <w:r w:rsidRPr="00B0714F">
        <w:rPr>
          <w:i/>
        </w:rPr>
        <w:t xml:space="preserve"> et </w:t>
      </w:r>
      <w:proofErr w:type="spellStart"/>
      <w:r w:rsidRPr="00B0714F">
        <w:rPr>
          <w:i/>
        </w:rPr>
        <w:t>co</w:t>
      </w:r>
      <w:proofErr w:type="spellEnd"/>
      <w:r w:rsidRPr="00B0714F">
        <w:rPr>
          <w:i/>
        </w:rPr>
        <w:t xml:space="preserve">-publié avec le site </w:t>
      </w:r>
      <w:hyperlink r:id="rId10" w:history="1">
        <w:r w:rsidRPr="00B0714F">
          <w:rPr>
            <w:rStyle w:val="Lienhypertexte"/>
            <w:i/>
          </w:rPr>
          <w:t>Culture Sciences Physique</w:t>
        </w:r>
      </w:hyperlink>
      <w:r w:rsidRPr="00B0714F">
        <w:rPr>
          <w:i/>
        </w:rPr>
        <w:t>. Les données sont tirées de nombreuses références</w:t>
      </w:r>
      <w:r w:rsidRPr="00B0714F">
        <w:rPr>
          <w:rStyle w:val="Accentuation1"/>
          <w:i/>
        </w:rPr>
        <w:t xml:space="preserve"> </w:t>
      </w:r>
      <w:r w:rsidRPr="00B0714F">
        <w:rPr>
          <w:i/>
        </w:rPr>
        <w:t>(rapports de groupes de recherche, publications dans des revues spécialisées, rapports d'instituts nationaux...).</w:t>
      </w:r>
    </w:p>
    <w:p w14:paraId="5E2AC53D" w14:textId="4532666C" w:rsidR="0003795B" w:rsidRDefault="007211F4" w:rsidP="0006610B">
      <w:r>
        <w:t xml:space="preserve">Dans </w:t>
      </w:r>
      <w:r w:rsidR="00F75BB2">
        <w:t>cette ressource</w:t>
      </w:r>
      <w:r>
        <w:t xml:space="preserve">, </w:t>
      </w:r>
      <w:r w:rsidR="0003795B">
        <w:t xml:space="preserve">après un </w:t>
      </w:r>
      <w:r w:rsidR="00B87FE2">
        <w:t>point sur</w:t>
      </w:r>
      <w:r w:rsidR="0003795B">
        <w:t xml:space="preserve"> l’impact de nos gestes sur les ressources de </w:t>
      </w:r>
      <w:r w:rsidR="00B46986">
        <w:t xml:space="preserve">la </w:t>
      </w:r>
      <w:r w:rsidR="0003795B">
        <w:t>Terre, n</w:t>
      </w:r>
      <w:r w:rsidR="00A271B5">
        <w:t xml:space="preserve">ous nous intéressons à la sobriété </w:t>
      </w:r>
      <w:r w:rsidR="00C32278">
        <w:t xml:space="preserve">abordée sous l’angle de l’adaptation des capacités aux </w:t>
      </w:r>
      <w:r w:rsidR="0003795B">
        <w:t>besoins</w:t>
      </w:r>
      <w:r w:rsidR="00C32278">
        <w:t xml:space="preserve"> </w:t>
      </w:r>
      <w:r w:rsidR="00B87FE2">
        <w:t>et de la sobriété d’usage</w:t>
      </w:r>
      <w:r w:rsidR="0003795B">
        <w:t xml:space="preserve">, </w:t>
      </w:r>
      <w:r w:rsidR="00B87FE2">
        <w:t>puis nous ferons un bilan de la récupération et du recyclage des matériaux et équipements, du</w:t>
      </w:r>
      <w:r w:rsidR="0003795B">
        <w:t xml:space="preserve"> réemploi des appareils </w:t>
      </w:r>
      <w:r w:rsidR="00B87FE2">
        <w:t>et</w:t>
      </w:r>
      <w:r w:rsidR="0003795B">
        <w:t xml:space="preserve"> des matières recyclées</w:t>
      </w:r>
      <w:r w:rsidR="0003795B" w:rsidRPr="0006610B">
        <w:t>.</w:t>
      </w:r>
      <w:r w:rsidR="00570222" w:rsidRPr="0006610B">
        <w:t xml:space="preserve"> </w:t>
      </w:r>
      <w:r w:rsidR="0006610B" w:rsidRPr="0006610B">
        <w:t>La sobriété est un sujet vaste et aux multiples facettes, dont ce</w:t>
      </w:r>
      <w:r w:rsidR="0006610B">
        <w:t>tte</w:t>
      </w:r>
      <w:r w:rsidR="0006610B" w:rsidRPr="0006610B">
        <w:t xml:space="preserve"> </w:t>
      </w:r>
      <w:r w:rsidR="0006610B">
        <w:t>ressource</w:t>
      </w:r>
      <w:r w:rsidR="0006610B" w:rsidRPr="0006610B">
        <w:t xml:space="preserve"> ne </w:t>
      </w:r>
      <w:r w:rsidR="0006610B">
        <w:t>peut</w:t>
      </w:r>
      <w:r w:rsidR="0006610B" w:rsidRPr="0006610B">
        <w:t xml:space="preserve"> faire l’analyse exhaustive</w:t>
      </w:r>
      <w:r w:rsidR="0006610B">
        <w:t>.</w:t>
      </w:r>
    </w:p>
    <w:p w14:paraId="29DDA388" w14:textId="77777777" w:rsidR="004723ED" w:rsidRDefault="00F47BD8" w:rsidP="00F47BD8">
      <w:pPr>
        <w:pStyle w:val="Titre1"/>
      </w:pPr>
      <w:r>
        <w:t xml:space="preserve">1 – Consommation des </w:t>
      </w:r>
      <w:r w:rsidR="00D3163A">
        <w:t>ressources primaires</w:t>
      </w:r>
    </w:p>
    <w:p w14:paraId="36D7613D" w14:textId="77777777" w:rsidR="00E00B57" w:rsidRDefault="00F47BD8" w:rsidP="00070B4D">
      <w:pPr>
        <w:spacing w:after="0"/>
      </w:pPr>
      <w:r>
        <w:t>L’organisation des sociétés et des modes de vie utilise énormément de ressources primaires pour la satisfaction des besoins quotidiens (se chauffer</w:t>
      </w:r>
      <w:r w:rsidR="000D6621">
        <w:t xml:space="preserve"> et</w:t>
      </w:r>
      <w:r w:rsidR="00E57817">
        <w:t xml:space="preserve"> </w:t>
      </w:r>
      <w:r>
        <w:t xml:space="preserve">se rafraichir, se nourrir, se déplacer, se divertir, …). </w:t>
      </w:r>
      <w:r w:rsidRPr="00F47BD8">
        <w:t>Si toute l’humanité vivait comme les Français, il faudrait près de trois planètes Terre pour satisfaire ses besoins</w:t>
      </w:r>
      <w:r w:rsidR="00E00B57">
        <w:t>.</w:t>
      </w:r>
      <w:r w:rsidR="00245EA4">
        <w:t xml:space="preserve"> La figure 1 schématise la </w:t>
      </w:r>
      <w:r w:rsidR="0012732C">
        <w:t>superficie</w:t>
      </w:r>
      <w:r w:rsidR="00245EA4">
        <w:t xml:space="preserve"> de la planète nécessaire au train de vie de chaque pays, l’unité </w:t>
      </w:r>
      <w:r w:rsidR="0012732C">
        <w:t xml:space="preserve">de la superficie </w:t>
      </w:r>
      <w:r w:rsidR="00245EA4">
        <w:t xml:space="preserve">« Terre » est représentée dans la légende. La France </w:t>
      </w:r>
      <w:proofErr w:type="gramStart"/>
      <w:r w:rsidR="00245EA4">
        <w:t>est</w:t>
      </w:r>
      <w:proofErr w:type="gramEnd"/>
      <w:r w:rsidR="00245EA4">
        <w:t xml:space="preserve"> schématisée environ 3 fois plus importante que la Terre</w:t>
      </w:r>
      <w:r w:rsidR="0012732C">
        <w:t xml:space="preserve"> (attention, c’est un facteur graphique de racine de 3 sur le diamètre, ce qui rend moins visuel le facteur). Le </w:t>
      </w:r>
      <w:r w:rsidR="00245EA4">
        <w:t xml:space="preserve">pays le </w:t>
      </w:r>
      <w:r w:rsidR="00374B4B">
        <w:t>plus frugal</w:t>
      </w:r>
      <w:r w:rsidR="00245EA4">
        <w:t xml:space="preserve"> est l’Erythrée en jaune au centre du schéma</w:t>
      </w:r>
      <w:r w:rsidR="00A0534B">
        <w:t xml:space="preserve"> avec 0,3 fois la Terre</w:t>
      </w:r>
      <w:r w:rsidR="00245EA4">
        <w:t xml:space="preserve">, le plus </w:t>
      </w:r>
      <w:r w:rsidR="00374B4B">
        <w:t>impactant est</w:t>
      </w:r>
      <w:r w:rsidR="00245EA4">
        <w:t xml:space="preserve"> le Qatar en orange à gauche</w:t>
      </w:r>
      <w:r w:rsidR="00A0534B">
        <w:t xml:space="preserve"> schématisé plus de 6 fois la Terre</w:t>
      </w:r>
      <w:r w:rsidR="00245EA4">
        <w:t>.</w:t>
      </w:r>
      <w:r w:rsidR="0012732C">
        <w:t xml:space="preserve"> </w:t>
      </w:r>
    </w:p>
    <w:p w14:paraId="7FBA29E9" w14:textId="77777777" w:rsidR="00E00B57" w:rsidRDefault="00E00B57" w:rsidP="00E00B57">
      <w:pPr>
        <w:pStyle w:val="Sansinterligne"/>
      </w:pPr>
      <w:r>
        <w:rPr>
          <w:noProof/>
          <w:lang w:eastAsia="fr-FR"/>
        </w:rPr>
        <w:drawing>
          <wp:inline distT="0" distB="0" distL="0" distR="0" wp14:anchorId="7C1E6165" wp14:editId="348B52DB">
            <wp:extent cx="5206351" cy="4019550"/>
            <wp:effectExtent l="0" t="0" r="0" b="0"/>
            <wp:docPr id="1" name="Image 0" descr="Combien de ter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en de terre.png"/>
                    <pic:cNvPicPr/>
                  </pic:nvPicPr>
                  <pic:blipFill>
                    <a:blip r:embed="rId11" cstate="print"/>
                    <a:stretch>
                      <a:fillRect/>
                    </a:stretch>
                  </pic:blipFill>
                  <pic:spPr>
                    <a:xfrm>
                      <a:off x="0" y="0"/>
                      <a:ext cx="5240112" cy="4045615"/>
                    </a:xfrm>
                    <a:prstGeom prst="rect">
                      <a:avLst/>
                    </a:prstGeom>
                  </pic:spPr>
                </pic:pic>
              </a:graphicData>
            </a:graphic>
          </wp:inline>
        </w:drawing>
      </w:r>
    </w:p>
    <w:p w14:paraId="23E6DE29" w14:textId="77777777" w:rsidR="00E00B57" w:rsidRDefault="00E00B57" w:rsidP="00E00B57">
      <w:pPr>
        <w:pStyle w:val="Lgende"/>
      </w:pPr>
      <w:r w:rsidRPr="00E352E3">
        <w:t>Figure</w:t>
      </w:r>
      <w:r>
        <w:t xml:space="preserve"> </w:t>
      </w:r>
      <w:r w:rsidR="009E14BA">
        <w:rPr>
          <w:noProof/>
        </w:rPr>
        <w:fldChar w:fldCharType="begin"/>
      </w:r>
      <w:r>
        <w:rPr>
          <w:noProof/>
        </w:rPr>
        <w:instrText xml:space="preserve"> SEQ Figure \* ARABIC </w:instrText>
      </w:r>
      <w:r w:rsidR="009E14BA">
        <w:rPr>
          <w:noProof/>
        </w:rPr>
        <w:fldChar w:fldCharType="separate"/>
      </w:r>
      <w:r w:rsidR="00C64908">
        <w:rPr>
          <w:noProof/>
        </w:rPr>
        <w:t>1</w:t>
      </w:r>
      <w:r w:rsidR="009E14BA">
        <w:rPr>
          <w:noProof/>
        </w:rPr>
        <w:fldChar w:fldCharType="end"/>
      </w:r>
      <w:r>
        <w:rPr>
          <w:noProof/>
        </w:rPr>
        <w:t xml:space="preserve"> </w:t>
      </w:r>
      <w:r>
        <w:t>: Combien de Terre</w:t>
      </w:r>
      <w:r w:rsidR="00317ACA">
        <w:t>s</w:t>
      </w:r>
      <w:r>
        <w:t xml:space="preserve"> serai</w:t>
      </w:r>
      <w:r w:rsidR="00317ACA">
        <w:t>en</w:t>
      </w:r>
      <w:r>
        <w:t>t nécessaire</w:t>
      </w:r>
      <w:r w:rsidR="00317ACA">
        <w:t>s</w:t>
      </w:r>
      <w:r>
        <w:t xml:space="preserve"> si l’humanité vivait comme …, source [1]</w:t>
      </w:r>
    </w:p>
    <w:p w14:paraId="6AE590F3" w14:textId="77777777" w:rsidR="00F47BD8" w:rsidRDefault="00A0534B" w:rsidP="008736AE">
      <w:pPr>
        <w:spacing w:after="0"/>
        <w:rPr>
          <w:rFonts w:ascii="Sintony-Bold" w:hAnsi="Sintony-Bold" w:cs="Sintony-Bold"/>
          <w:b/>
          <w:bCs/>
          <w:color w:val="0081AE"/>
        </w:rPr>
      </w:pPr>
      <w:r>
        <w:lastRenderedPageBreak/>
        <w:t>Le calcul du nombre de Terre</w:t>
      </w:r>
      <w:r w:rsidR="00BB3022">
        <w:t>s</w:t>
      </w:r>
      <w:r>
        <w:t xml:space="preserve"> nécessaire</w:t>
      </w:r>
      <w:r w:rsidR="00BB3022">
        <w:t>s</w:t>
      </w:r>
      <w:r>
        <w:t xml:space="preserve"> si l’humanité vivait de la même façon dans chaque pays, </w:t>
      </w:r>
      <w:r w:rsidR="00764E7D">
        <w:t>comme également le calcul du jour de dépassement (</w:t>
      </w:r>
      <w:proofErr w:type="spellStart"/>
      <w:r w:rsidR="00764E7D">
        <w:t>Earth</w:t>
      </w:r>
      <w:proofErr w:type="spellEnd"/>
      <w:r w:rsidR="00764E7D">
        <w:t xml:space="preserve"> </w:t>
      </w:r>
      <w:proofErr w:type="spellStart"/>
      <w:r w:rsidR="00764E7D">
        <w:t>Overshoot</w:t>
      </w:r>
      <w:proofErr w:type="spellEnd"/>
      <w:r w:rsidR="00764E7D">
        <w:t xml:space="preserve"> Day)</w:t>
      </w:r>
      <w:r w:rsidR="004C179A">
        <w:t>,</w:t>
      </w:r>
      <w:r w:rsidR="00764E7D">
        <w:t xml:space="preserve"> son</w:t>
      </w:r>
      <w:r>
        <w:t>t basé</w:t>
      </w:r>
      <w:r w:rsidR="00764E7D">
        <w:t>s</w:t>
      </w:r>
      <w:r>
        <w:t xml:space="preserve"> sur l</w:t>
      </w:r>
      <w:r w:rsidR="00BB3022">
        <w:t>a notion d</w:t>
      </w:r>
      <w:r>
        <w:t>’empreinte environnementale de</w:t>
      </w:r>
      <w:r w:rsidR="00BB3022">
        <w:t>s activités humaines</w:t>
      </w:r>
      <w:r>
        <w:t xml:space="preserve">, </w:t>
      </w:r>
      <w:r w:rsidR="00764E7D">
        <w:t>cela permet</w:t>
      </w:r>
      <w:r>
        <w:t xml:space="preserve"> de </w:t>
      </w:r>
      <w:r w:rsidR="00764E7D">
        <w:t>sensibiliser le grand public à ses impacts</w:t>
      </w:r>
      <w:r w:rsidR="00BB3022">
        <w:t xml:space="preserve"> avec un indicateur unique et donc très simplifié</w:t>
      </w:r>
      <w:r w:rsidR="00764E7D">
        <w:t xml:space="preserve">. </w:t>
      </w:r>
      <w:r w:rsidR="00F47BD8">
        <w:t>En 2020, le « </w:t>
      </w:r>
      <w:proofErr w:type="spellStart"/>
      <w:r w:rsidR="00F47BD8">
        <w:t>Earth</w:t>
      </w:r>
      <w:proofErr w:type="spellEnd"/>
      <w:r w:rsidR="00F47BD8">
        <w:t xml:space="preserve"> </w:t>
      </w:r>
      <w:proofErr w:type="spellStart"/>
      <w:r w:rsidR="00F47BD8">
        <w:t>Overshoot</w:t>
      </w:r>
      <w:proofErr w:type="spellEnd"/>
      <w:r w:rsidR="00F47BD8">
        <w:t xml:space="preserve"> Day » était le 22 août, c'est-à-dire qu’à cette date l’humanité avait épuisé les sources de la Terre renouvelables en une année. C’est une date global</w:t>
      </w:r>
      <w:r w:rsidR="002871E2">
        <w:t>e</w:t>
      </w:r>
      <w:r w:rsidR="00F47BD8">
        <w:t xml:space="preserve"> qui cache bien des disparités</w:t>
      </w:r>
      <w:r w:rsidR="002871E2">
        <w:t xml:space="preserve"> (figure 2)</w:t>
      </w:r>
      <w:r w:rsidR="00F47BD8">
        <w:t xml:space="preserve">. Si l’humanité vivait comme les habitants du Qatar, cette date aurait été le 11 février. </w:t>
      </w:r>
      <w:r w:rsidR="0076356F">
        <w:t>Sur la base du mode de vie d</w:t>
      </w:r>
      <w:r w:rsidR="00F47BD8">
        <w:t xml:space="preserve">es habitants de l’Indonésie, </w:t>
      </w:r>
      <w:r w:rsidR="0076356F">
        <w:t xml:space="preserve">cette </w:t>
      </w:r>
      <w:r w:rsidR="00F47BD8">
        <w:t xml:space="preserve">date serait le 18 décembre. </w:t>
      </w:r>
      <w:r w:rsidR="0076356F">
        <w:t>Enfin, s</w:t>
      </w:r>
      <w:r w:rsidR="00F47BD8">
        <w:t xml:space="preserve">i </w:t>
      </w:r>
      <w:r w:rsidR="002871E2">
        <w:t xml:space="preserve">toute </w:t>
      </w:r>
      <w:r w:rsidR="00F47BD8">
        <w:t xml:space="preserve">l’humanité vivait comme les </w:t>
      </w:r>
      <w:r w:rsidR="0076356F">
        <w:t>F</w:t>
      </w:r>
      <w:r w:rsidR="00F47BD8">
        <w:t>rançais, alors la date de dépassement des capacités de renouvellement des</w:t>
      </w:r>
      <w:r w:rsidR="002871E2">
        <w:t xml:space="preserve"> ressources aurait été le 14 mai 2020</w:t>
      </w:r>
      <w:r w:rsidR="003C2701">
        <w:t> ;</w:t>
      </w:r>
      <w:r w:rsidR="002871E2">
        <w:t xml:space="preserve"> en 4 mois et demi, nous consommons ce que la Terre peut </w:t>
      </w:r>
      <w:r w:rsidR="00270501">
        <w:t>renouveler</w:t>
      </w:r>
      <w:r w:rsidR="002871E2">
        <w:t xml:space="preserve"> en une année.</w:t>
      </w:r>
    </w:p>
    <w:p w14:paraId="03F6B41D" w14:textId="77777777" w:rsidR="004723ED" w:rsidRDefault="003C2701" w:rsidP="003C2701">
      <w:pPr>
        <w:pStyle w:val="Sansinterligne"/>
      </w:pPr>
      <w:r>
        <w:rPr>
          <w:noProof/>
          <w:lang w:eastAsia="fr-FR"/>
        </w:rPr>
        <w:drawing>
          <wp:inline distT="0" distB="0" distL="0" distR="0" wp14:anchorId="5FF67C70" wp14:editId="0E10CF93">
            <wp:extent cx="6082895" cy="4686300"/>
            <wp:effectExtent l="19050" t="0" r="0" b="0"/>
            <wp:docPr id="2" name="Image 1" descr="Country overshoot days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overshoot days 2020.png"/>
                    <pic:cNvPicPr/>
                  </pic:nvPicPr>
                  <pic:blipFill>
                    <a:blip r:embed="rId12" cstate="print"/>
                    <a:stretch>
                      <a:fillRect/>
                    </a:stretch>
                  </pic:blipFill>
                  <pic:spPr>
                    <a:xfrm>
                      <a:off x="0" y="0"/>
                      <a:ext cx="6084143" cy="4687261"/>
                    </a:xfrm>
                    <a:prstGeom prst="rect">
                      <a:avLst/>
                    </a:prstGeom>
                  </pic:spPr>
                </pic:pic>
              </a:graphicData>
            </a:graphic>
          </wp:inline>
        </w:drawing>
      </w:r>
    </w:p>
    <w:p w14:paraId="2A687D80" w14:textId="77777777" w:rsidR="003C2701" w:rsidRDefault="003C2701" w:rsidP="003C2701">
      <w:pPr>
        <w:pStyle w:val="Lgende"/>
      </w:pPr>
      <w:r>
        <w:t xml:space="preserve">Figure </w:t>
      </w:r>
      <w:r w:rsidR="009E14BA">
        <w:rPr>
          <w:noProof/>
        </w:rPr>
        <w:fldChar w:fldCharType="begin"/>
      </w:r>
      <w:r w:rsidR="00275A08">
        <w:rPr>
          <w:noProof/>
        </w:rPr>
        <w:instrText xml:space="preserve"> SEQ Figure \* ARABIC </w:instrText>
      </w:r>
      <w:r w:rsidR="009E14BA">
        <w:rPr>
          <w:noProof/>
        </w:rPr>
        <w:fldChar w:fldCharType="separate"/>
      </w:r>
      <w:r w:rsidR="00C64908">
        <w:rPr>
          <w:noProof/>
        </w:rPr>
        <w:t>2</w:t>
      </w:r>
      <w:r w:rsidR="009E14BA">
        <w:rPr>
          <w:noProof/>
        </w:rPr>
        <w:fldChar w:fldCharType="end"/>
      </w:r>
      <w:r>
        <w:t xml:space="preserve"> : Jour du dépassement en 2020 </w:t>
      </w:r>
      <w:r w:rsidR="0076356F">
        <w:t>calculé sur la base du mode de vie</w:t>
      </w:r>
      <w:r>
        <w:t xml:space="preserve"> des </w:t>
      </w:r>
      <w:r w:rsidR="0076356F">
        <w:t>différentes nations</w:t>
      </w:r>
      <w:r>
        <w:t xml:space="preserve">, </w:t>
      </w:r>
      <w:r w:rsidR="004C179A">
        <w:t>source </w:t>
      </w:r>
      <w:r>
        <w:t>[2]</w:t>
      </w:r>
    </w:p>
    <w:p w14:paraId="05A35D7D" w14:textId="77777777" w:rsidR="00C73A8A" w:rsidRDefault="003C2701" w:rsidP="004723ED">
      <w:r>
        <w:t>La</w:t>
      </w:r>
      <w:r w:rsidR="004723ED">
        <w:t xml:space="preserve"> surconsommation </w:t>
      </w:r>
      <w:r>
        <w:t xml:space="preserve">qui ne permet pas </w:t>
      </w:r>
      <w:r w:rsidR="0076356F">
        <w:t>aux ressources terrestres</w:t>
      </w:r>
      <w:r>
        <w:t xml:space="preserve"> de se renouveler, a</w:t>
      </w:r>
      <w:r w:rsidR="0012732C">
        <w:t xml:space="preserve"> des</w:t>
      </w:r>
      <w:r>
        <w:t xml:space="preserve"> conséquences</w:t>
      </w:r>
      <w:r w:rsidR="00FE4B88">
        <w:t xml:space="preserve">. </w:t>
      </w:r>
      <w:r w:rsidR="00A93C30" w:rsidRPr="00A93C30">
        <w:t>La crise écologique majeure concerne avant tout l'effondrement de la biodiversité qui s'est récemment vivement accéléré (figure 3) par, d'une part, l’accès à des ressources énergétiques fossiles abondantes, qui a considérablement amplifié les capacités d'Homo Sapiens à transformer son environnement et, d'autre part, à l’emploi massif de technologies biocides. Les émissions de gaz à effet de serre dues surtout à l'usage des combustibles fossiles et aux pratiques agricoles, dérèglent le climat et viennent ajouter une nouvelle cause à l’effondrement de la biodiversité (figure 4</w:t>
      </w:r>
      <w:r w:rsidR="00841817">
        <w:t>)</w:t>
      </w:r>
      <w:r w:rsidR="0076356F">
        <w:t xml:space="preserve">, </w:t>
      </w:r>
      <w:r w:rsidR="004723ED">
        <w:t>mett</w:t>
      </w:r>
      <w:r w:rsidR="0076356F">
        <w:t>a</w:t>
      </w:r>
      <w:r w:rsidR="004723ED">
        <w:t xml:space="preserve">nt </w:t>
      </w:r>
      <w:r w:rsidR="0076356F">
        <w:t xml:space="preserve">ainsi </w:t>
      </w:r>
      <w:r w:rsidR="004723ED">
        <w:t>en péril les conditions mêmes de la vie de l’humanité</w:t>
      </w:r>
      <w:r w:rsidR="00D513CA">
        <w:t xml:space="preserve"> et la vie sur Terre d’une façon générale</w:t>
      </w:r>
      <w:r w:rsidR="004723ED">
        <w:t>.</w:t>
      </w:r>
    </w:p>
    <w:p w14:paraId="67462A8C" w14:textId="77777777" w:rsidR="00D513CA" w:rsidRDefault="00D513CA" w:rsidP="001C49A6">
      <w:pPr>
        <w:spacing w:after="0"/>
      </w:pPr>
      <w:r>
        <w:t xml:space="preserve">Figure </w:t>
      </w:r>
      <w:r w:rsidR="00C80B76">
        <w:t>3</w:t>
      </w:r>
      <w:r>
        <w:t xml:space="preserve"> est représenté le taux d’extinction cumulé d’espèces de vertébrés sur les cinq derniers siècles. Même si l’effondrement de la biodiversité a commencé</w:t>
      </w:r>
      <w:r w:rsidR="00C80B76">
        <w:t xml:space="preserve"> depuis qu’Homo Sapiens </w:t>
      </w:r>
      <w:r w:rsidR="00A93C30">
        <w:t>a colonisé</w:t>
      </w:r>
      <w:r w:rsidR="00C80B76">
        <w:t xml:space="preserve"> </w:t>
      </w:r>
      <w:r w:rsidR="00C80B76">
        <w:lastRenderedPageBreak/>
        <w:t xml:space="preserve">toute la surface de la Terre (environ 100 000 ans) [3], on note l’accélération massive de ces deux derniers siècles, depuis la révolution industrielle et la </w:t>
      </w:r>
      <w:r w:rsidR="00A93C30">
        <w:t>croissance exponentielle du nombre d’humains associée à une croissance de la consommation individuelle</w:t>
      </w:r>
      <w:r w:rsidR="00C80B76">
        <w:t xml:space="preserve"> La figure 3 ne comptabilise</w:t>
      </w:r>
      <w:r w:rsidR="00C80B76" w:rsidRPr="00841817">
        <w:t xml:space="preserve"> que la catégorie </w:t>
      </w:r>
      <w:r w:rsidR="00C80B76">
        <w:t>« </w:t>
      </w:r>
      <w:r w:rsidR="00C80B76" w:rsidRPr="00841817">
        <w:t>espèce éteinte</w:t>
      </w:r>
      <w:r w:rsidR="00C80B76">
        <w:t> » à gauche, et inclue</w:t>
      </w:r>
      <w:r w:rsidR="00C80B76" w:rsidRPr="00841817">
        <w:t xml:space="preserve"> les catégories </w:t>
      </w:r>
      <w:r w:rsidR="00C80B76">
        <w:t>« </w:t>
      </w:r>
      <w:r w:rsidR="00C80B76" w:rsidRPr="00841817">
        <w:t>éteinte</w:t>
      </w:r>
      <w:r w:rsidR="00C80B76">
        <w:t>s</w:t>
      </w:r>
      <w:r w:rsidR="00C80B76" w:rsidRPr="00841817">
        <w:t xml:space="preserve"> à l'état sauvage</w:t>
      </w:r>
      <w:r w:rsidR="00C80B76">
        <w:t> »</w:t>
      </w:r>
      <w:r w:rsidR="00C80B76" w:rsidRPr="00841817">
        <w:t xml:space="preserve"> et </w:t>
      </w:r>
      <w:r w:rsidR="00C80B76">
        <w:t>« </w:t>
      </w:r>
      <w:r w:rsidR="00C80B76" w:rsidRPr="00841817">
        <w:t>certainement éteinte</w:t>
      </w:r>
      <w:r w:rsidR="001C49A6">
        <w:t>s</w:t>
      </w:r>
      <w:r w:rsidR="00C80B76">
        <w:t> »</w:t>
      </w:r>
      <w:r w:rsidR="00C80B76" w:rsidRPr="00841817">
        <w:t xml:space="preserve"> à droite. Les courbes </w:t>
      </w:r>
      <w:r w:rsidR="00C80B76">
        <w:t>bleu et rouge</w:t>
      </w:r>
      <w:r w:rsidR="00C80B76" w:rsidRPr="00841817">
        <w:t xml:space="preserve"> indiquent les valeurs pour les mammifères (</w:t>
      </w:r>
      <w:proofErr w:type="spellStart"/>
      <w:r w:rsidR="00C80B76" w:rsidRPr="00841817">
        <w:rPr>
          <w:iCs/>
        </w:rPr>
        <w:t>Mammals</w:t>
      </w:r>
      <w:proofErr w:type="spellEnd"/>
      <w:r w:rsidR="00C80B76" w:rsidRPr="00841817">
        <w:t>) et les oiseaux (</w:t>
      </w:r>
      <w:proofErr w:type="spellStart"/>
      <w:r w:rsidR="00C80B76" w:rsidRPr="00841817">
        <w:rPr>
          <w:iCs/>
        </w:rPr>
        <w:t>Birds</w:t>
      </w:r>
      <w:proofErr w:type="spellEnd"/>
      <w:r w:rsidR="00C80B76" w:rsidRPr="00841817">
        <w:t>),</w:t>
      </w:r>
      <w:r w:rsidR="00C80B76">
        <w:t xml:space="preserve"> en jaune</w:t>
      </w:r>
      <w:r w:rsidR="00C80B76" w:rsidRPr="00841817">
        <w:t xml:space="preserve"> les autres vertébrés (</w:t>
      </w:r>
      <w:proofErr w:type="spellStart"/>
      <w:r w:rsidR="00C80B76" w:rsidRPr="00841817">
        <w:rPr>
          <w:iCs/>
        </w:rPr>
        <w:t>Others</w:t>
      </w:r>
      <w:proofErr w:type="spellEnd"/>
      <w:r w:rsidR="00C80B76" w:rsidRPr="00841817">
        <w:rPr>
          <w:iCs/>
        </w:rPr>
        <w:t xml:space="preserve"> </w:t>
      </w:r>
      <w:proofErr w:type="spellStart"/>
      <w:r w:rsidR="00C80B76" w:rsidRPr="00841817">
        <w:rPr>
          <w:iCs/>
        </w:rPr>
        <w:t>vertebrates</w:t>
      </w:r>
      <w:proofErr w:type="spellEnd"/>
      <w:r w:rsidR="00C80B76" w:rsidRPr="00841817">
        <w:t>), c'est-à-dire les poissons, les amphibiens et les reptiles, et</w:t>
      </w:r>
      <w:r w:rsidR="00C80B76">
        <w:t xml:space="preserve"> en vert</w:t>
      </w:r>
      <w:r w:rsidR="00C80B76" w:rsidRPr="00841817">
        <w:t xml:space="preserve"> l'ensemble des vertébrés (</w:t>
      </w:r>
      <w:proofErr w:type="spellStart"/>
      <w:r w:rsidR="00C80B76" w:rsidRPr="00841817">
        <w:rPr>
          <w:iCs/>
        </w:rPr>
        <w:t>Vertebrates</w:t>
      </w:r>
      <w:proofErr w:type="spellEnd"/>
      <w:r w:rsidR="00C80B76" w:rsidRPr="00841817">
        <w:t>). La ligne pointillée donne le taux cumulé en période normale (</w:t>
      </w:r>
      <w:r w:rsidR="00C80B76" w:rsidRPr="00841817">
        <w:rPr>
          <w:iCs/>
        </w:rPr>
        <w:t>Background</w:t>
      </w:r>
      <w:r w:rsidR="00C80B76" w:rsidRPr="00841817">
        <w:t>)</w:t>
      </w:r>
      <w:r w:rsidR="00C80B76">
        <w:t xml:space="preserve"> [4].</w:t>
      </w:r>
    </w:p>
    <w:p w14:paraId="09DB2829" w14:textId="77777777" w:rsidR="00D513CA" w:rsidRDefault="00D513CA" w:rsidP="00FF7B22">
      <w:pPr>
        <w:pStyle w:val="Sansinterligne"/>
      </w:pPr>
      <w:r>
        <w:rPr>
          <w:noProof/>
          <w:lang w:eastAsia="fr-FR"/>
        </w:rPr>
        <w:drawing>
          <wp:inline distT="0" distB="0" distL="0" distR="0" wp14:anchorId="35F7E9AF" wp14:editId="02CCA9A8">
            <wp:extent cx="5911379" cy="2317392"/>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odiversité.png"/>
                    <pic:cNvPicPr/>
                  </pic:nvPicPr>
                  <pic:blipFill>
                    <a:blip r:embed="rId13">
                      <a:extLst>
                        <a:ext uri="{28A0092B-C50C-407E-A947-70E740481C1C}">
                          <a14:useLocalDpi xmlns:a14="http://schemas.microsoft.com/office/drawing/2010/main" val="0"/>
                        </a:ext>
                      </a:extLst>
                    </a:blip>
                    <a:stretch>
                      <a:fillRect/>
                    </a:stretch>
                  </pic:blipFill>
                  <pic:spPr>
                    <a:xfrm>
                      <a:off x="0" y="0"/>
                      <a:ext cx="5912593" cy="2317868"/>
                    </a:xfrm>
                    <a:prstGeom prst="rect">
                      <a:avLst/>
                    </a:prstGeom>
                  </pic:spPr>
                </pic:pic>
              </a:graphicData>
            </a:graphic>
          </wp:inline>
        </w:drawing>
      </w:r>
    </w:p>
    <w:p w14:paraId="37A06491" w14:textId="77777777" w:rsidR="00D513CA" w:rsidRDefault="00FF7B22" w:rsidP="00FF7B22">
      <w:pPr>
        <w:pStyle w:val="Lgende"/>
      </w:pPr>
      <w:r>
        <w:t xml:space="preserve">Figure </w:t>
      </w:r>
      <w:r w:rsidR="009E14BA">
        <w:rPr>
          <w:noProof/>
        </w:rPr>
        <w:fldChar w:fldCharType="begin"/>
      </w:r>
      <w:r w:rsidR="005704C8">
        <w:rPr>
          <w:noProof/>
        </w:rPr>
        <w:instrText xml:space="preserve"> SEQ Figure \* ARABIC </w:instrText>
      </w:r>
      <w:r w:rsidR="009E14BA">
        <w:rPr>
          <w:noProof/>
        </w:rPr>
        <w:fldChar w:fldCharType="separate"/>
      </w:r>
      <w:r w:rsidR="00C64908">
        <w:rPr>
          <w:noProof/>
        </w:rPr>
        <w:t>3</w:t>
      </w:r>
      <w:r w:rsidR="009E14BA">
        <w:rPr>
          <w:noProof/>
        </w:rPr>
        <w:fldChar w:fldCharType="end"/>
      </w:r>
      <w:r>
        <w:t xml:space="preserve"> </w:t>
      </w:r>
      <w:r w:rsidR="00D513CA">
        <w:t xml:space="preserve">: </w:t>
      </w:r>
      <w:r w:rsidR="00D513CA" w:rsidRPr="00841817">
        <w:t>Le taux d'extinction cumulé d'espèces de vertébrés selon les données de l'UICN</w:t>
      </w:r>
      <w:r w:rsidR="00D513CA">
        <w:t xml:space="preserve"> (Union Internationale pour la Conservation de la Nature)</w:t>
      </w:r>
      <w:r w:rsidR="00D513CA" w:rsidRPr="00841817">
        <w:t>,</w:t>
      </w:r>
      <w:r w:rsidR="00D513CA">
        <w:t xml:space="preserve"> </w:t>
      </w:r>
      <w:r w:rsidR="002D4382">
        <w:t>source </w:t>
      </w:r>
      <w:r w:rsidR="00D513CA">
        <w:t>[</w:t>
      </w:r>
      <w:r w:rsidR="00452CA5">
        <w:t>4</w:t>
      </w:r>
      <w:r w:rsidR="006B65FD">
        <w:t>] </w:t>
      </w:r>
      <w:r w:rsidR="006B65FD" w:rsidRPr="00841817">
        <w:t>©</w:t>
      </w:r>
      <w:r w:rsidR="006B65FD">
        <w:t> </w:t>
      </w:r>
      <w:r w:rsidR="006B65FD" w:rsidRPr="00841817">
        <w:t>Gerardo</w:t>
      </w:r>
      <w:r w:rsidR="006B65FD">
        <w:t> </w:t>
      </w:r>
      <w:proofErr w:type="spellStart"/>
      <w:r w:rsidR="006B65FD" w:rsidRPr="00841817">
        <w:t>Ceballos</w:t>
      </w:r>
      <w:proofErr w:type="spellEnd"/>
      <w:r w:rsidR="006B65FD">
        <w:t> </w:t>
      </w:r>
      <w:r w:rsidR="006B65FD" w:rsidRPr="00841817">
        <w:rPr>
          <w:iCs/>
        </w:rPr>
        <w:t>et</w:t>
      </w:r>
      <w:r w:rsidR="006B65FD">
        <w:rPr>
          <w:iCs/>
        </w:rPr>
        <w:t> </w:t>
      </w:r>
      <w:r w:rsidR="00D513CA" w:rsidRPr="00841817">
        <w:rPr>
          <w:iCs/>
        </w:rPr>
        <w:t>al</w:t>
      </w:r>
      <w:r w:rsidR="006B65FD" w:rsidRPr="00841817">
        <w:rPr>
          <w:iCs/>
        </w:rPr>
        <w:t>.</w:t>
      </w:r>
      <w:r w:rsidR="006B65FD">
        <w:t> </w:t>
      </w:r>
      <w:proofErr w:type="spellStart"/>
      <w:r w:rsidR="006B65FD" w:rsidRPr="00841817">
        <w:rPr>
          <w:iCs/>
        </w:rPr>
        <w:t>Sience</w:t>
      </w:r>
      <w:proofErr w:type="spellEnd"/>
      <w:r w:rsidR="006B65FD">
        <w:rPr>
          <w:iCs/>
        </w:rPr>
        <w:t> </w:t>
      </w:r>
      <w:proofErr w:type="spellStart"/>
      <w:r w:rsidR="00D513CA" w:rsidRPr="00841817">
        <w:rPr>
          <w:iCs/>
        </w:rPr>
        <w:t>Advances</w:t>
      </w:r>
      <w:proofErr w:type="spellEnd"/>
      <w:r w:rsidR="006B65FD">
        <w:t> </w:t>
      </w:r>
      <w:r w:rsidR="00D513CA" w:rsidRPr="00841817">
        <w:t>UICN</w:t>
      </w:r>
    </w:p>
    <w:p w14:paraId="1F3EE6F2" w14:textId="77777777" w:rsidR="00FF7B22" w:rsidRDefault="00C20FCB" w:rsidP="00A93C30">
      <w:pPr>
        <w:spacing w:after="0"/>
      </w:pPr>
      <w:r>
        <w:t xml:space="preserve">Figure </w:t>
      </w:r>
      <w:r w:rsidR="00D513CA">
        <w:t xml:space="preserve">4 </w:t>
      </w:r>
      <w:r>
        <w:t>sont représenté</w:t>
      </w:r>
      <w:r w:rsidR="008C5FFC">
        <w:t>e</w:t>
      </w:r>
      <w:r>
        <w:t>s les variations des concentrations atmosphériques des gaz à effet de serre (GES) et de la concentration de deutérium dans les glaces de l’Antarctique. Ces données, issues des carottages glaciaires, couvrent 650 000 années (les bandes grisées indiquent les périodes interglaciaires (chaudes). La concentration de deutérium</w:t>
      </w:r>
      <w:r w:rsidR="008C5FFC">
        <w:t xml:space="preserve"> (</w:t>
      </w:r>
      <w:r w:rsidR="008C5FFC" w:rsidRPr="008E02D3">
        <w:rPr>
          <w:rFonts w:ascii="Symbol" w:hAnsi="Symbol"/>
        </w:rPr>
        <w:t></w:t>
      </w:r>
      <w:r w:rsidR="008C5FFC">
        <w:t>D)</w:t>
      </w:r>
      <w:r>
        <w:t xml:space="preserve">, courbe noire en bas, est un indicateur représentatif de la température locale. </w:t>
      </w:r>
      <w:r w:rsidR="008C5FFC">
        <w:t xml:space="preserve">Les trois courbes du haut représentent les concentrations dans l’air emprisonné des glaces </w:t>
      </w:r>
      <w:r>
        <w:t>de</w:t>
      </w:r>
      <w:r w:rsidR="008C5FFC">
        <w:t>s</w:t>
      </w:r>
      <w:r>
        <w:t xml:space="preserve"> GES</w:t>
      </w:r>
      <w:r w:rsidR="008C5FFC">
        <w:t> : dioxyde de carbone (CO</w:t>
      </w:r>
      <w:r w:rsidR="008C5FFC" w:rsidRPr="008E02D3">
        <w:rPr>
          <w:vertAlign w:val="subscript"/>
        </w:rPr>
        <w:t>2</w:t>
      </w:r>
      <w:r w:rsidR="008C5FFC">
        <w:t>) en noir et rouge, méthane (CH</w:t>
      </w:r>
      <w:r w:rsidR="008C5FFC" w:rsidRPr="008E02D3">
        <w:rPr>
          <w:vertAlign w:val="subscript"/>
        </w:rPr>
        <w:t>4</w:t>
      </w:r>
      <w:r w:rsidR="008C5FFC">
        <w:t>) en bleu et protoxyde d’azote (N</w:t>
      </w:r>
      <w:r w:rsidR="008C5FFC" w:rsidRPr="008E02D3">
        <w:rPr>
          <w:vertAlign w:val="subscript"/>
        </w:rPr>
        <w:t>2</w:t>
      </w:r>
      <w:r w:rsidR="008C5FFC">
        <w:t>O) en vert.</w:t>
      </w:r>
    </w:p>
    <w:p w14:paraId="4B2E8457" w14:textId="77777777" w:rsidR="004C179A" w:rsidRDefault="00F4574B" w:rsidP="00457B6D">
      <w:pPr>
        <w:pStyle w:val="Sansinterligne"/>
      </w:pPr>
      <w:r>
        <w:rPr>
          <w:noProof/>
          <w:lang w:eastAsia="fr-FR"/>
        </w:rPr>
        <w:drawing>
          <wp:inline distT="0" distB="0" distL="0" distR="0" wp14:anchorId="009545A9" wp14:editId="799E1DA4">
            <wp:extent cx="4757865" cy="2983911"/>
            <wp:effectExtent l="19050" t="0" r="4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nnées issues des carottes glaciai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57865" cy="2983911"/>
                    </a:xfrm>
                    <a:prstGeom prst="rect">
                      <a:avLst/>
                    </a:prstGeom>
                  </pic:spPr>
                </pic:pic>
              </a:graphicData>
            </a:graphic>
          </wp:inline>
        </w:drawing>
      </w:r>
    </w:p>
    <w:p w14:paraId="5297E0CF" w14:textId="77777777" w:rsidR="001E20FD" w:rsidRDefault="008C5FFC" w:rsidP="008C5FFC">
      <w:pPr>
        <w:pStyle w:val="Lgende"/>
      </w:pPr>
      <w:r>
        <w:t xml:space="preserve">Figure </w:t>
      </w:r>
      <w:r w:rsidR="009E14BA">
        <w:rPr>
          <w:noProof/>
        </w:rPr>
        <w:fldChar w:fldCharType="begin"/>
      </w:r>
      <w:r w:rsidR="00D513CA">
        <w:rPr>
          <w:noProof/>
        </w:rPr>
        <w:instrText xml:space="preserve"> SEQ Figure \* ARABIC </w:instrText>
      </w:r>
      <w:r w:rsidR="009E14BA">
        <w:rPr>
          <w:noProof/>
        </w:rPr>
        <w:fldChar w:fldCharType="separate"/>
      </w:r>
      <w:r w:rsidR="00C64908">
        <w:rPr>
          <w:noProof/>
        </w:rPr>
        <w:t>4</w:t>
      </w:r>
      <w:r w:rsidR="009E14BA">
        <w:rPr>
          <w:noProof/>
        </w:rPr>
        <w:fldChar w:fldCharType="end"/>
      </w:r>
      <w:r>
        <w:t xml:space="preserve"> </w:t>
      </w:r>
      <w:r w:rsidR="001E20FD">
        <w:t>: Variations de la concentration de deutérium (</w:t>
      </w:r>
      <w:r w:rsidR="001E20FD" w:rsidRPr="008E02D3">
        <w:rPr>
          <w:rFonts w:ascii="Symbol" w:hAnsi="Symbol"/>
        </w:rPr>
        <w:t></w:t>
      </w:r>
      <w:r w:rsidR="001E20FD">
        <w:t>D) dans les glaces de l’Antarctique et concentrations atmosphériques des gaz à effet de serre </w:t>
      </w:r>
      <w:r>
        <w:t>dans l’air emprisonné des glaces</w:t>
      </w:r>
      <w:r w:rsidR="001E20FD">
        <w:t>: CO</w:t>
      </w:r>
      <w:r w:rsidR="001E20FD" w:rsidRPr="008E02D3">
        <w:rPr>
          <w:vertAlign w:val="subscript"/>
        </w:rPr>
        <w:t>2</w:t>
      </w:r>
      <w:r w:rsidR="001E20FD">
        <w:t>,</w:t>
      </w:r>
      <w:r>
        <w:t xml:space="preserve"> </w:t>
      </w:r>
      <w:r w:rsidR="001E20FD">
        <w:t>CH</w:t>
      </w:r>
      <w:r w:rsidR="001E20FD" w:rsidRPr="008E02D3">
        <w:rPr>
          <w:vertAlign w:val="subscript"/>
        </w:rPr>
        <w:t>4</w:t>
      </w:r>
      <w:r w:rsidR="001E20FD">
        <w:t xml:space="preserve"> et N</w:t>
      </w:r>
      <w:r w:rsidR="001E20FD" w:rsidRPr="008E02D3">
        <w:rPr>
          <w:vertAlign w:val="subscript"/>
        </w:rPr>
        <w:t>2</w:t>
      </w:r>
      <w:r w:rsidR="001E20FD">
        <w:t>O, source [</w:t>
      </w:r>
      <w:r w:rsidR="00FF7B22">
        <w:t>5</w:t>
      </w:r>
      <w:r w:rsidR="001E20FD">
        <w:t>]</w:t>
      </w:r>
    </w:p>
    <w:p w14:paraId="279851EC" w14:textId="4CAA6D97" w:rsidR="003573B8" w:rsidRDefault="003573B8" w:rsidP="004723ED">
      <w:r>
        <w:lastRenderedPageBreak/>
        <w:t xml:space="preserve">Le partage de ressources limitées de la Terre entre ses habitants </w:t>
      </w:r>
      <w:r w:rsidR="00922450">
        <w:t xml:space="preserve">toujours plus nombreux, </w:t>
      </w:r>
      <w:r>
        <w:t xml:space="preserve">devrait être équitable afin d’éviter les tensions sociales majeures et donc les conflits. </w:t>
      </w:r>
      <w:r w:rsidR="00533609">
        <w:t xml:space="preserve">Près de </w:t>
      </w:r>
      <w:r>
        <w:t>10 milliards d’humain</w:t>
      </w:r>
      <w:r w:rsidR="00070D08">
        <w:t>s</w:t>
      </w:r>
      <w:r>
        <w:t xml:space="preserve"> devrai</w:t>
      </w:r>
      <w:r w:rsidR="00756BAD">
        <w:t>en</w:t>
      </w:r>
      <w:r>
        <w:t xml:space="preserve">t peupler la planète d’ici 2050, or tous </w:t>
      </w:r>
      <w:r w:rsidR="00922450">
        <w:t xml:space="preserve">ne </w:t>
      </w:r>
      <w:r>
        <w:t>p</w:t>
      </w:r>
      <w:r w:rsidR="00922450">
        <w:t xml:space="preserve">ourront </w:t>
      </w:r>
      <w:r>
        <w:t xml:space="preserve">consommer à l’image des plus </w:t>
      </w:r>
      <w:r w:rsidR="00070D08">
        <w:t>riches</w:t>
      </w:r>
      <w:r w:rsidR="00374A67">
        <w:t xml:space="preserve">, ce sont </w:t>
      </w:r>
      <w:r w:rsidR="00070D08">
        <w:t xml:space="preserve">donc </w:t>
      </w:r>
      <w:r w:rsidR="00374A67">
        <w:t>eux les premiers concernés par la sobriété</w:t>
      </w:r>
      <w:r>
        <w:t>. L</w:t>
      </w:r>
      <w:r w:rsidR="00922450">
        <w:t xml:space="preserve">a vie à long terme d’une </w:t>
      </w:r>
      <w:r>
        <w:t>humanité</w:t>
      </w:r>
      <w:r w:rsidR="00922450">
        <w:t xml:space="preserve"> pacifique</w:t>
      </w:r>
      <w:r>
        <w:t xml:space="preserve"> passe par un modèle de développement </w:t>
      </w:r>
      <w:proofErr w:type="gramStart"/>
      <w:r>
        <w:t>fondé</w:t>
      </w:r>
      <w:proofErr w:type="gramEnd"/>
      <w:r>
        <w:t xml:space="preserve"> sur la sobriété.</w:t>
      </w:r>
      <w:r w:rsidR="00922450" w:rsidRPr="00922450">
        <w:t xml:space="preserve"> </w:t>
      </w:r>
      <w:r w:rsidR="00922450">
        <w:t>Notons que la sobriété fera désormais explicitement partie des solutions préconisées par le GIEC dans le 6</w:t>
      </w:r>
      <w:r w:rsidR="00922450" w:rsidRPr="00494CA9">
        <w:rPr>
          <w:vertAlign w:val="superscript"/>
        </w:rPr>
        <w:t>ème</w:t>
      </w:r>
      <w:r w:rsidR="00922450">
        <w:t xml:space="preserve"> rapport dont la publication est prévue à la fin de l’année 2021.</w:t>
      </w:r>
    </w:p>
    <w:p w14:paraId="198B93B8" w14:textId="77777777" w:rsidR="00D3163A" w:rsidRDefault="00D3163A" w:rsidP="00D3163A">
      <w:pPr>
        <w:pStyle w:val="Titre1"/>
      </w:pPr>
      <w:r>
        <w:t>2 – La sobriété</w:t>
      </w:r>
    </w:p>
    <w:p w14:paraId="1AAEAA2D" w14:textId="77777777" w:rsidR="001401BD" w:rsidRDefault="006E456F" w:rsidP="006E456F">
      <w:r>
        <w:t>Quantifier l’impact de nos gestes</w:t>
      </w:r>
      <w:r>
        <w:rPr>
          <w:rStyle w:val="Appelnotedebasdep"/>
        </w:rPr>
        <w:footnoteReference w:id="1"/>
      </w:r>
      <w:r>
        <w:t xml:space="preserve"> permet de mesurer l’importance de notre empreinte sur la Terre. Le terme de sobriété a souvent mauvais</w:t>
      </w:r>
      <w:r w:rsidR="00786E18">
        <w:t>e</w:t>
      </w:r>
      <w:r>
        <w:t xml:space="preserve"> presse, confondu avec austérité ou frugalité</w:t>
      </w:r>
      <w:r w:rsidR="00D12893">
        <w:t xml:space="preserve">. Avant de concerner l’énergie, ces termes concernent l’ensemble de nos modes de vie associés à une consommation </w:t>
      </w:r>
      <w:r w:rsidR="00AC68CA">
        <w:t xml:space="preserve">en </w:t>
      </w:r>
      <w:r w:rsidR="00270501">
        <w:t>croissan</w:t>
      </w:r>
      <w:r w:rsidR="00AC68CA">
        <w:t>c</w:t>
      </w:r>
      <w:r w:rsidR="00270501">
        <w:t>e</w:t>
      </w:r>
      <w:r w:rsidR="00AC68CA">
        <w:t xml:space="preserve"> quasi-exponentielle</w:t>
      </w:r>
      <w:r w:rsidR="00270501">
        <w:t xml:space="preserve"> </w:t>
      </w:r>
      <w:r w:rsidR="00D12893">
        <w:t>dans un monde aux ressources limitées. L’austérité est e</w:t>
      </w:r>
      <w:r w:rsidR="00730537">
        <w:t>n effet une sobriété contrainte</w:t>
      </w:r>
      <w:r w:rsidR="00D12893">
        <w:t>, non choisie, quant à la frugalité, il s’agit d’aller vers un minimum de consommation.</w:t>
      </w:r>
      <w:r w:rsidR="00730537">
        <w:t xml:space="preserve"> La sobriété est </w:t>
      </w:r>
      <w:r w:rsidR="0012094E">
        <w:t xml:space="preserve">en fait </w:t>
      </w:r>
      <w:r w:rsidR="00730537">
        <w:t xml:space="preserve">le contraire d’ébriété, il s’agit donc d’adopter un mode de consommation raisonné, souhaitable et </w:t>
      </w:r>
      <w:r w:rsidR="001401BD">
        <w:t xml:space="preserve">qui soit déterminé </w:t>
      </w:r>
      <w:r w:rsidR="00730537">
        <w:t>le plus collectivement possible afin d’éviter des effets de frustration.</w:t>
      </w:r>
    </w:p>
    <w:p w14:paraId="39C339E5" w14:textId="77777777" w:rsidR="006E456F" w:rsidRDefault="001401BD" w:rsidP="006E456F">
      <w:r>
        <w:t>La</w:t>
      </w:r>
      <w:r w:rsidR="00730537">
        <w:t xml:space="preserve"> sobriété peu</w:t>
      </w:r>
      <w:r>
        <w:t>t</w:t>
      </w:r>
      <w:r w:rsidR="00730537">
        <w:t xml:space="preserve"> se limiter </w:t>
      </w:r>
      <w:r w:rsidR="00F52EE9">
        <w:t>à</w:t>
      </w:r>
      <w:r w:rsidR="006E456F">
        <w:t xml:space="preserve"> </w:t>
      </w:r>
      <w:r w:rsidR="00F52EE9">
        <w:t>des petits</w:t>
      </w:r>
      <w:r w:rsidR="006E456F">
        <w:t xml:space="preserve"> gestes et comportements</w:t>
      </w:r>
      <w:r w:rsidR="00F52EE9">
        <w:t xml:space="preserve"> de moindre gaspillage, mais c’est surtout dans des règlementations choisies démocratiquement, par exemple selon l’exemple de la « Convention citoyenne pour le climat » de 2020</w:t>
      </w:r>
      <w:r w:rsidR="006E456F">
        <w:t xml:space="preserve">. </w:t>
      </w:r>
      <w:r w:rsidR="00F52EE9">
        <w:t xml:space="preserve">L’une des mesures de sobriété </w:t>
      </w:r>
      <w:r w:rsidR="00DB30D9">
        <w:t xml:space="preserve">imposée par l’Etat, parmi </w:t>
      </w:r>
      <w:r w:rsidR="00F52EE9">
        <w:t>les plus connues</w:t>
      </w:r>
      <w:r w:rsidR="00DB30D9">
        <w:t>,</w:t>
      </w:r>
      <w:r w:rsidR="00F52EE9">
        <w:t xml:space="preserve"> concerne l’introduction de limitations de vitesse sur les routes et autoroutes après le premier choc pétrolier</w:t>
      </w:r>
      <w:r w:rsidR="0012094E">
        <w:t xml:space="preserve"> de 1973</w:t>
      </w:r>
      <w:r w:rsidR="004723ED">
        <w:t>.</w:t>
      </w:r>
      <w:r w:rsidR="00DB30D9">
        <w:t xml:space="preserve"> Une autre mesure, datant de la même époque, concerne la température maximale à l’intérieur des bâtiments à une valeur de 19°C</w:t>
      </w:r>
      <w:r w:rsidR="0012094E">
        <w:t>.  B</w:t>
      </w:r>
      <w:r w:rsidR="00DB30D9">
        <w:t>ien que légiférée, elle est cependant peu appliquée, sans doute parce que sociologiquement plus difficilement acceptable</w:t>
      </w:r>
      <w:r w:rsidR="00F72D76">
        <w:t xml:space="preserve"> et parfois irréaliste</w:t>
      </w:r>
      <w:r w:rsidR="00DB30D9">
        <w:t>.</w:t>
      </w:r>
      <w:r w:rsidR="008736AE" w:rsidRPr="008736AE">
        <w:t xml:space="preserve"> </w:t>
      </w:r>
      <w:r w:rsidR="008736AE">
        <w:t>L’introduction d</w:t>
      </w:r>
      <w:r w:rsidR="00EC296D">
        <w:t>e l’</w:t>
      </w:r>
      <w:r w:rsidR="008736AE">
        <w:t>heure d’été en France en 1976 avait également pour but d’effectuer des économies d’énergie en réduisant les besoins d’éclairage en soirée.</w:t>
      </w:r>
    </w:p>
    <w:p w14:paraId="1190CCDA" w14:textId="77777777" w:rsidR="0024350D" w:rsidRDefault="006E456F" w:rsidP="004723ED">
      <w:r>
        <w:t>L’</w:t>
      </w:r>
      <w:r w:rsidR="004723ED">
        <w:t xml:space="preserve">évolution </w:t>
      </w:r>
      <w:r w:rsidR="000940F5">
        <w:t>vers la sobriété</w:t>
      </w:r>
      <w:r w:rsidR="004723ED">
        <w:t xml:space="preserve"> ne dépend </w:t>
      </w:r>
      <w:r w:rsidR="00FD5454">
        <w:t xml:space="preserve">donc </w:t>
      </w:r>
      <w:r w:rsidR="004723ED">
        <w:t xml:space="preserve">pas uniquement d’actes individuels, mais </w:t>
      </w:r>
      <w:r w:rsidR="00FD5454">
        <w:t xml:space="preserve">surtout </w:t>
      </w:r>
      <w:r w:rsidR="004723ED">
        <w:t xml:space="preserve">largement de choix collectifs. </w:t>
      </w:r>
      <w:r>
        <w:t>Par exemple, i</w:t>
      </w:r>
      <w:r w:rsidR="004723ED">
        <w:t>l ne suffit pas</w:t>
      </w:r>
      <w:r>
        <w:t xml:space="preserve"> </w:t>
      </w:r>
      <w:r w:rsidR="004723ED" w:rsidRPr="004723ED">
        <w:t>de vouloir se déplacer à vélo, encore faut-il que l’aménagement de la voirie le permette.</w:t>
      </w:r>
      <w:r w:rsidR="00171D1D">
        <w:t xml:space="preserve"> Cependant, les actes individuels finissent, pour peu qu’ils soient suivi</w:t>
      </w:r>
      <w:r w:rsidR="00786E18">
        <w:t>s</w:t>
      </w:r>
      <w:r w:rsidR="00171D1D">
        <w:t xml:space="preserve"> par nombre d’individus</w:t>
      </w:r>
      <w:r w:rsidR="00FD5454">
        <w:t xml:space="preserve"> (par exemple par effet d’entraînement social)</w:t>
      </w:r>
      <w:r w:rsidR="00171D1D">
        <w:t>, par impacter la collectivité.</w:t>
      </w:r>
    </w:p>
    <w:p w14:paraId="7B0F85AF" w14:textId="77777777" w:rsidR="008B3D38" w:rsidRDefault="007E3C7C" w:rsidP="00B30D8E">
      <w:r>
        <w:t xml:space="preserve">A contrario, certaines décisions collectives peuvent être </w:t>
      </w:r>
      <w:r w:rsidR="00D70938">
        <w:t xml:space="preserve">annihilées (effet rebond) </w:t>
      </w:r>
      <w:r>
        <w:t xml:space="preserve">par les comportements individuels </w:t>
      </w:r>
      <w:r w:rsidR="000940F5">
        <w:t>à l’image</w:t>
      </w:r>
      <w:r>
        <w:t xml:space="preserve"> </w:t>
      </w:r>
      <w:r w:rsidR="004723ED">
        <w:t>les progrès réalisés grâce à l’efficacité énergétique</w:t>
      </w:r>
      <w:r w:rsidR="005747A1">
        <w:t xml:space="preserve"> (volet technologique des réductions de consommation)</w:t>
      </w:r>
      <w:r w:rsidR="004723ED">
        <w:t xml:space="preserve"> </w:t>
      </w:r>
      <w:r>
        <w:t>des appareils</w:t>
      </w:r>
      <w:r w:rsidR="00FD5454">
        <w:t xml:space="preserve"> et autres systèmes consommateurs d’énergie</w:t>
      </w:r>
      <w:r>
        <w:t xml:space="preserve">. </w:t>
      </w:r>
      <w:r w:rsidR="004723ED">
        <w:t xml:space="preserve">Par exemple, </w:t>
      </w:r>
      <w:r>
        <w:t xml:space="preserve">les téléviseurs ont vu leur efficacité énergétique nettement progresser </w:t>
      </w:r>
      <w:r w:rsidR="009963D7">
        <w:t>grâce aux nouvelles technologies</w:t>
      </w:r>
      <w:r w:rsidR="00FD5454">
        <w:t xml:space="preserve"> LCD</w:t>
      </w:r>
      <w:r w:rsidR="009963D7">
        <w:t xml:space="preserve">. Mais </w:t>
      </w:r>
      <w:r>
        <w:t>dans le même temps</w:t>
      </w:r>
      <w:r w:rsidR="00D03925">
        <w:t xml:space="preserve">, </w:t>
      </w:r>
      <w:r w:rsidR="009963D7">
        <w:t xml:space="preserve">les coûts ont baissé et </w:t>
      </w:r>
      <w:r w:rsidR="00D03925">
        <w:t>les écrans</w:t>
      </w:r>
      <w:r w:rsidR="009963D7">
        <w:t>, de tailles de plus en plus grandes,</w:t>
      </w:r>
      <w:r w:rsidR="00D03925">
        <w:t xml:space="preserve"> se</w:t>
      </w:r>
      <w:r w:rsidR="009963D7">
        <w:t xml:space="preserve"> sont</w:t>
      </w:r>
      <w:r w:rsidR="00D03925">
        <w:t xml:space="preserve"> multipli</w:t>
      </w:r>
      <w:r w:rsidR="009963D7">
        <w:t>és</w:t>
      </w:r>
      <w:r w:rsidR="00D03925">
        <w:t xml:space="preserve"> au sein </w:t>
      </w:r>
      <w:r w:rsidR="009963D7">
        <w:t xml:space="preserve">des </w:t>
      </w:r>
      <w:r w:rsidR="00D03925">
        <w:t>foyer</w:t>
      </w:r>
      <w:r w:rsidR="009963D7">
        <w:t>s</w:t>
      </w:r>
      <w:r w:rsidR="000940F5">
        <w:t>, continuant ainsi à consommer autant</w:t>
      </w:r>
      <w:r w:rsidR="00FD5454">
        <w:t xml:space="preserve"> sinon plus</w:t>
      </w:r>
      <w:r>
        <w:t>.</w:t>
      </w:r>
    </w:p>
    <w:p w14:paraId="1D887726" w14:textId="77777777" w:rsidR="009A34B2" w:rsidRDefault="006B0A16" w:rsidP="00B30D8E">
      <w:r>
        <w:t xml:space="preserve">Ce même type d’exemple se retrouve sur les </w:t>
      </w:r>
      <w:r w:rsidR="00FD5454">
        <w:t>automobiles</w:t>
      </w:r>
      <w:r w:rsidR="00905B85">
        <w:t xml:space="preserve"> vendues en France</w:t>
      </w:r>
      <w:r w:rsidR="00FD5454">
        <w:t xml:space="preserve"> </w:t>
      </w:r>
      <w:r w:rsidR="00EC296D">
        <w:t xml:space="preserve">(figure </w:t>
      </w:r>
      <w:r w:rsidR="001401BD">
        <w:t>5</w:t>
      </w:r>
      <w:r w:rsidR="00EC296D">
        <w:t xml:space="preserve">) </w:t>
      </w:r>
      <w:r>
        <w:t xml:space="preserve">dont </w:t>
      </w:r>
      <w:r w:rsidR="00A1727E">
        <w:t>le rapport poids/puissance a été</w:t>
      </w:r>
      <w:r>
        <w:t xml:space="preserve"> amélioré </w:t>
      </w:r>
      <w:r w:rsidR="00F5777C">
        <w:t>(</w:t>
      </w:r>
      <w:r w:rsidR="00FD5454">
        <w:t xml:space="preserve">moyenne </w:t>
      </w:r>
      <w:r w:rsidR="00F5777C">
        <w:t>22,3 en 1953 et 10,9 en 2018)</w:t>
      </w:r>
      <w:r w:rsidR="00FD5454">
        <w:t>, malgré un accroissement de leur masse (846 à 1248 kg), ce qui a conduit à une augmentation simultanée de la puissance des moteurs (38 à 114 cv). C</w:t>
      </w:r>
      <w:r>
        <w:t>omme</w:t>
      </w:r>
      <w:r w:rsidR="00FD5454">
        <w:t xml:space="preserve"> la consommation d’énergie requise croit avec la masse et que le surdimensionnement des moteurs conduit à de plus faibles rendements en usage </w:t>
      </w:r>
      <w:r w:rsidR="00FD5454">
        <w:lastRenderedPageBreak/>
        <w:t>normal (limitations de vitesse)</w:t>
      </w:r>
      <w:r w:rsidR="00905B85">
        <w:t xml:space="preserve"> [</w:t>
      </w:r>
      <w:r w:rsidR="001401BD">
        <w:t>6</w:t>
      </w:r>
      <w:r w:rsidR="00905B85">
        <w:t>]</w:t>
      </w:r>
      <w:r w:rsidR="00FD5454">
        <w:t>, l’amélioration de</w:t>
      </w:r>
      <w:r>
        <w:t xml:space="preserve"> l</w:t>
      </w:r>
      <w:r w:rsidR="00FD5454">
        <w:t xml:space="preserve">eur </w:t>
      </w:r>
      <w:r>
        <w:t xml:space="preserve">efficacité </w:t>
      </w:r>
      <w:r w:rsidR="00FD5454">
        <w:t>n’a que faiblement compensé les effets néfastes précédents.</w:t>
      </w:r>
      <w:r w:rsidR="008B3D38">
        <w:t xml:space="preserve"> Le prix du carburant corrigé de l’inflation (courbe </w:t>
      </w:r>
      <w:r w:rsidR="002F3331">
        <w:t xml:space="preserve">en </w:t>
      </w:r>
      <w:r w:rsidR="008B3D38">
        <w:t xml:space="preserve">noir figure </w:t>
      </w:r>
      <w:r w:rsidR="00D373EE">
        <w:t>6</w:t>
      </w:r>
      <w:r w:rsidR="008B3D38">
        <w:t xml:space="preserve">) étant resté relativement bas, il est finalement possible de rouler plus loin pour la même dépense (courbe bleu figure </w:t>
      </w:r>
      <w:r w:rsidR="00D373EE">
        <w:t>6</w:t>
      </w:r>
      <w:r w:rsidR="008B3D38">
        <w:t>).</w:t>
      </w:r>
      <w:r w:rsidR="00FD5454">
        <w:t xml:space="preserve"> </w:t>
      </w:r>
      <w:r w:rsidR="00D373EE">
        <w:t>Cependant</w:t>
      </w:r>
      <w:r w:rsidR="0077700A">
        <w:t xml:space="preserve"> nombre de </w:t>
      </w:r>
      <w:r w:rsidR="001401BD">
        <w:t>personnes</w:t>
      </w:r>
      <w:r w:rsidR="0077700A">
        <w:t xml:space="preserve"> résident de plus en plus loin de leur lieu de travail, cela a accru leur vulnérabilité aux augmentations des prix du carburant. Ces exemples sont destinés à montrer la complexité de ces questions énergétiques. </w:t>
      </w:r>
    </w:p>
    <w:p w14:paraId="174FA7ED" w14:textId="74EA99A0" w:rsidR="00005B42" w:rsidRDefault="0018613B" w:rsidP="00005B42">
      <w:pPr>
        <w:pStyle w:val="Sansinterligne"/>
      </w:pPr>
      <w:r>
        <w:rPr>
          <w:noProof/>
          <w:lang w:eastAsia="fr-FR"/>
        </w:rPr>
        <mc:AlternateContent>
          <mc:Choice Requires="wps">
            <w:drawing>
              <wp:anchor distT="0" distB="0" distL="114300" distR="114300" simplePos="0" relativeHeight="251650048" behindDoc="0" locked="0" layoutInCell="1" allowOverlap="1" wp14:anchorId="41E404B9" wp14:editId="744ACEC0">
                <wp:simplePos x="0" y="0"/>
                <wp:positionH relativeFrom="margin">
                  <wp:posOffset>862330</wp:posOffset>
                </wp:positionH>
                <wp:positionV relativeFrom="paragraph">
                  <wp:posOffset>1946275</wp:posOffset>
                </wp:positionV>
                <wp:extent cx="4460240" cy="457200"/>
                <wp:effectExtent l="0" t="0" r="16510" b="19050"/>
                <wp:wrapNone/>
                <wp:docPr id="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0240" cy="457200"/>
                        </a:xfrm>
                        <a:prstGeom prst="rect">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BD722" id="Rectangle 12" o:spid="_x0000_s1026" style="position:absolute;margin-left:67.9pt;margin-top:153.25pt;width:351.2pt;height: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" filled="f" strokecolor="#c32d2e [3206]" strokeweight="1.5pt">
                <v:path arrowok="t"/>
                <w10:wrap anchorx="margin"/>
              </v:rect>
            </w:pict>
          </mc:Fallback>
        </mc:AlternateContent>
      </w:r>
      <w:r>
        <w:rPr>
          <w:noProof/>
          <w:lang w:eastAsia="fr-FR"/>
        </w:rPr>
        <mc:AlternateContent>
          <mc:Choice Requires="wps">
            <w:drawing>
              <wp:anchor distT="0" distB="0" distL="114300" distR="114300" simplePos="0" relativeHeight="251645952" behindDoc="0" locked="0" layoutInCell="1" allowOverlap="1" wp14:anchorId="63960672" wp14:editId="54F20808">
                <wp:simplePos x="0" y="0"/>
                <wp:positionH relativeFrom="column">
                  <wp:posOffset>855980</wp:posOffset>
                </wp:positionH>
                <wp:positionV relativeFrom="paragraph">
                  <wp:posOffset>2641600</wp:posOffset>
                </wp:positionV>
                <wp:extent cx="4460240" cy="228600"/>
                <wp:effectExtent l="0" t="0" r="16510" b="19050"/>
                <wp:wrapNone/>
                <wp:docPr id="5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0240" cy="228600"/>
                        </a:xfrm>
                        <a:prstGeom prst="rect">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5C9BBE" id="Rectangle 7" o:spid="_x0000_s1026" style="position:absolute;margin-left:67.4pt;margin-top:208pt;width:351.2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" filled="f" strokecolor="#c32d2e [3206]" strokeweight="1.5pt">
                <v:path arrowok="t"/>
              </v:rect>
            </w:pict>
          </mc:Fallback>
        </mc:AlternateContent>
      </w:r>
      <w:r>
        <w:rPr>
          <w:noProof/>
          <w:lang w:eastAsia="fr-FR"/>
        </w:rPr>
        <mc:AlternateContent>
          <mc:Choice Requires="wps">
            <w:drawing>
              <wp:anchor distT="0" distB="0" distL="114300" distR="114300" simplePos="0" relativeHeight="251648000" behindDoc="0" locked="0" layoutInCell="1" allowOverlap="1" wp14:anchorId="0D822A12" wp14:editId="6471FE1A">
                <wp:simplePos x="0" y="0"/>
                <wp:positionH relativeFrom="margin">
                  <wp:align>center</wp:align>
                </wp:positionH>
                <wp:positionV relativeFrom="paragraph">
                  <wp:posOffset>790575</wp:posOffset>
                </wp:positionV>
                <wp:extent cx="4460240" cy="922020"/>
                <wp:effectExtent l="0" t="0" r="16510" b="11430"/>
                <wp:wrapNone/>
                <wp:docPr id="5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0240" cy="922020"/>
                        </a:xfrm>
                        <a:prstGeom prst="rect">
                          <a:avLst/>
                        </a:prstGeom>
                        <a:noFill/>
                        <a:ln w="1905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EFA59" id="Rectangle 9" o:spid="_x0000_s1026" style="position:absolute;margin-left:0;margin-top:62.25pt;width:351.2pt;height:72.6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" filled="f" strokecolor="#c32d2e [3206]" strokeweight="1.5pt">
                <v:path arrowok="t"/>
                <w10:wrap anchorx="margin"/>
              </v:rect>
            </w:pict>
          </mc:Fallback>
        </mc:AlternateContent>
      </w:r>
      <w:r w:rsidR="00A1727E">
        <w:rPr>
          <w:noProof/>
          <w:lang w:eastAsia="fr-FR"/>
        </w:rPr>
        <w:drawing>
          <wp:inline distT="0" distB="0" distL="0" distR="0" wp14:anchorId="5594A22B" wp14:editId="421E3D36">
            <wp:extent cx="4553522" cy="4286250"/>
            <wp:effectExtent l="0" t="0" r="0" b="0"/>
            <wp:docPr id="4" name="Image 3" descr="évolution de la voiture moyenne neuve de 1953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volution de la voiture moyenne neuve de 1953 2018.png"/>
                    <pic:cNvPicPr/>
                  </pic:nvPicPr>
                  <pic:blipFill>
                    <a:blip r:embed="rId15" cstate="print"/>
                    <a:stretch>
                      <a:fillRect/>
                    </a:stretch>
                  </pic:blipFill>
                  <pic:spPr>
                    <a:xfrm>
                      <a:off x="0" y="0"/>
                      <a:ext cx="4562927" cy="4295103"/>
                    </a:xfrm>
                    <a:prstGeom prst="rect">
                      <a:avLst/>
                    </a:prstGeom>
                  </pic:spPr>
                </pic:pic>
              </a:graphicData>
            </a:graphic>
          </wp:inline>
        </w:drawing>
      </w:r>
    </w:p>
    <w:p w14:paraId="65E9EEA3" w14:textId="77777777" w:rsidR="004A4467" w:rsidRDefault="004A4467" w:rsidP="004A4467">
      <w:pPr>
        <w:pStyle w:val="Lgende"/>
      </w:pPr>
      <w:r>
        <w:t xml:space="preserve">Figure </w:t>
      </w:r>
      <w:r w:rsidR="009E14BA">
        <w:rPr>
          <w:noProof/>
        </w:rPr>
        <w:fldChar w:fldCharType="begin"/>
      </w:r>
      <w:r w:rsidR="00275A08">
        <w:rPr>
          <w:noProof/>
        </w:rPr>
        <w:instrText xml:space="preserve"> SEQ Figure \* ARABIC </w:instrText>
      </w:r>
      <w:r w:rsidR="009E14BA">
        <w:rPr>
          <w:noProof/>
        </w:rPr>
        <w:fldChar w:fldCharType="separate"/>
      </w:r>
      <w:r w:rsidR="00C64908">
        <w:rPr>
          <w:noProof/>
        </w:rPr>
        <w:t>5</w:t>
      </w:r>
      <w:r w:rsidR="009E14BA">
        <w:rPr>
          <w:noProof/>
        </w:rPr>
        <w:fldChar w:fldCharType="end"/>
      </w:r>
      <w:r>
        <w:t xml:space="preserve"> : </w:t>
      </w:r>
      <w:r w:rsidR="00A1727E">
        <w:t>É</w:t>
      </w:r>
      <w:r>
        <w:t xml:space="preserve">volution </w:t>
      </w:r>
      <w:r w:rsidR="00A1727E">
        <w:t>de la voiture moyenne neuve de 1953 à 2018</w:t>
      </w:r>
      <w:r w:rsidR="00905B85">
        <w:t xml:space="preserve"> en France</w:t>
      </w:r>
      <w:r w:rsidR="00A1727E">
        <w:t>, source [</w:t>
      </w:r>
      <w:r w:rsidR="001401BD">
        <w:t>7</w:t>
      </w:r>
      <w:r w:rsidR="00A1727E">
        <w:t>]</w:t>
      </w:r>
    </w:p>
    <w:p w14:paraId="5A74BE40" w14:textId="77777777" w:rsidR="00D373EE" w:rsidRDefault="00F4574B" w:rsidP="00D373EE">
      <w:pPr>
        <w:pStyle w:val="Sansinterligne"/>
        <w:spacing w:before="240"/>
      </w:pPr>
      <w:r>
        <w:rPr>
          <w:noProof/>
          <w:lang w:eastAsia="fr-FR"/>
        </w:rPr>
        <w:drawing>
          <wp:inline distT="0" distB="0" distL="0" distR="0" wp14:anchorId="1D1F288C" wp14:editId="4F6333DD">
            <wp:extent cx="5498823" cy="3095625"/>
            <wp:effectExtent l="19050" t="0" r="6627"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rix TTC des carbiurants et coût aux 100 km entre 1960 et 2011.png"/>
                    <pic:cNvPicPr/>
                  </pic:nvPicPr>
                  <pic:blipFill>
                    <a:blip r:embed="rId16">
                      <a:extLst>
                        <a:ext uri="{28A0092B-C50C-407E-A947-70E740481C1C}">
                          <a14:useLocalDpi xmlns:a14="http://schemas.microsoft.com/office/drawing/2010/main" val="0"/>
                        </a:ext>
                      </a:extLst>
                    </a:blip>
                    <a:stretch>
                      <a:fillRect/>
                    </a:stretch>
                  </pic:blipFill>
                  <pic:spPr>
                    <a:xfrm>
                      <a:off x="0" y="0"/>
                      <a:ext cx="5537870" cy="3117607"/>
                    </a:xfrm>
                    <a:prstGeom prst="rect">
                      <a:avLst/>
                    </a:prstGeom>
                  </pic:spPr>
                </pic:pic>
              </a:graphicData>
            </a:graphic>
          </wp:inline>
        </w:drawing>
      </w:r>
    </w:p>
    <w:p w14:paraId="4BB391B0" w14:textId="77777777" w:rsidR="00D373EE" w:rsidRPr="00D373EE" w:rsidRDefault="00D373EE" w:rsidP="00D373EE">
      <w:pPr>
        <w:pStyle w:val="Lgende"/>
      </w:pPr>
      <w:r>
        <w:t>Figure 6 : Prix TTC des carburants et coûts aux 100 km entre 1960 et 2011, source [</w:t>
      </w:r>
      <w:r w:rsidR="001401BD">
        <w:t>8</w:t>
      </w:r>
      <w:r>
        <w:t xml:space="preserve">] d’après CIRED F. Nadaud et P. </w:t>
      </w:r>
      <w:proofErr w:type="spellStart"/>
      <w:r>
        <w:t>Quirion</w:t>
      </w:r>
      <w:proofErr w:type="spellEnd"/>
      <w:r>
        <w:t xml:space="preserve"> 2012</w:t>
      </w:r>
    </w:p>
    <w:p w14:paraId="42E8F11E" w14:textId="77777777" w:rsidR="009A34B2" w:rsidRDefault="009A34B2" w:rsidP="00B30D8E">
      <w:r>
        <w:lastRenderedPageBreak/>
        <w:t xml:space="preserve">La sobriété doit </w:t>
      </w:r>
      <w:r w:rsidR="00D70938">
        <w:t xml:space="preserve">donc impérativement </w:t>
      </w:r>
      <w:r>
        <w:t xml:space="preserve">accompagner les progrès de l’efficacité énergétique pour qu’ils </w:t>
      </w:r>
      <w:r w:rsidR="00D70938">
        <w:t xml:space="preserve">conduisent </w:t>
      </w:r>
      <w:r>
        <w:t xml:space="preserve">pleinement à une </w:t>
      </w:r>
      <w:r w:rsidR="00BC5DEB">
        <w:t>baisse</w:t>
      </w:r>
      <w:r>
        <w:t xml:space="preserve"> de la consommation énergétique</w:t>
      </w:r>
      <w:r w:rsidRPr="009A34B2">
        <w:t xml:space="preserve"> </w:t>
      </w:r>
      <w:r>
        <w:t xml:space="preserve">alors qu’il est souvent constaté un « effet rebond » </w:t>
      </w:r>
      <w:r w:rsidR="00BC5DEB">
        <w:t xml:space="preserve">de la consommation </w:t>
      </w:r>
      <w:r>
        <w:t xml:space="preserve">qui </w:t>
      </w:r>
      <w:r w:rsidR="005747A1">
        <w:t xml:space="preserve">annihile </w:t>
      </w:r>
      <w:r>
        <w:t>les améliorations de l’efficacité.</w:t>
      </w:r>
    </w:p>
    <w:p w14:paraId="7D76E01D" w14:textId="77777777" w:rsidR="00E25C3E" w:rsidRDefault="00E25C3E" w:rsidP="00E25C3E">
      <w:r w:rsidRPr="009A2176">
        <w:rPr>
          <w:i/>
        </w:rPr>
        <w:t>La sobriété énergétique s’entend ainsi comme l’ensemble des stratégies collectives et individuelles pour changer la nature des services énergétiques que nous consommons et cesser ou réduire le recours à ceux qui sont intrinsèquement les plus intensifs en énergie</w:t>
      </w:r>
      <w:r>
        <w:t xml:space="preserve"> [4]</w:t>
      </w:r>
      <w:r w:rsidR="009A2176">
        <w:t>.</w:t>
      </w:r>
    </w:p>
    <w:p w14:paraId="5480BF08" w14:textId="77777777" w:rsidR="009A2176" w:rsidRDefault="009A2176" w:rsidP="00E25C3E">
      <w:r>
        <w:t>La question qui se pose est alors comment sélectionner les services énergétiques</w:t>
      </w:r>
      <w:r w:rsidR="00B11CCA">
        <w:t xml:space="preserve"> entre les indispensables et </w:t>
      </w:r>
      <w:r w:rsidR="005747A1">
        <w:t xml:space="preserve">les </w:t>
      </w:r>
      <w:r w:rsidR="006C22F0">
        <w:t>délétères</w:t>
      </w:r>
      <w:r w:rsidR="005747A1">
        <w:t xml:space="preserve">, en passant par </w:t>
      </w:r>
      <w:r w:rsidR="00B11CCA">
        <w:t xml:space="preserve">ceux que l’on pourrait </w:t>
      </w:r>
      <w:r w:rsidR="005747A1">
        <w:t>limiter </w:t>
      </w:r>
      <w:r w:rsidR="00B11CCA">
        <w:t xml:space="preserve">? </w:t>
      </w:r>
      <w:r w:rsidR="00F73DC2">
        <w:t xml:space="preserve">La réponse est difficilement universelle </w:t>
      </w:r>
      <w:r w:rsidR="008A2CB4">
        <w:t>cependant</w:t>
      </w:r>
      <w:r w:rsidR="00736614">
        <w:t xml:space="preserve"> pour mieux appréhender </w:t>
      </w:r>
      <w:r w:rsidR="008A2CB4">
        <w:t>la</w:t>
      </w:r>
      <w:r w:rsidR="00736614">
        <w:t xml:space="preserve"> notion </w:t>
      </w:r>
      <w:r w:rsidR="008A2CB4">
        <w:t xml:space="preserve">de sobriété </w:t>
      </w:r>
      <w:r w:rsidR="00736614">
        <w:t xml:space="preserve">encore insuffisamment comprise, l’association </w:t>
      </w:r>
      <w:proofErr w:type="spellStart"/>
      <w:r w:rsidR="00736614">
        <w:t>négaWatt</w:t>
      </w:r>
      <w:proofErr w:type="spellEnd"/>
      <w:r w:rsidR="00736614">
        <w:t xml:space="preserve"> </w:t>
      </w:r>
      <w:r w:rsidR="001F2FDA">
        <w:t>ainsi que d’autres auteurs</w:t>
      </w:r>
      <w:r w:rsidR="006C22F0">
        <w:t xml:space="preserve"> </w:t>
      </w:r>
      <w:r w:rsidR="001F2FDA">
        <w:t xml:space="preserve">l’ont </w:t>
      </w:r>
      <w:r w:rsidR="00736614">
        <w:t>déclinée</w:t>
      </w:r>
      <w:r w:rsidR="001F2FDA">
        <w:t xml:space="preserve"> </w:t>
      </w:r>
      <w:r w:rsidR="00736614">
        <w:t xml:space="preserve">en </w:t>
      </w:r>
      <w:r w:rsidR="00F73DC2">
        <w:t xml:space="preserve">quatre </w:t>
      </w:r>
      <w:r w:rsidR="00736614">
        <w:t>catégories</w:t>
      </w:r>
      <w:r w:rsidR="001F2FDA">
        <w:t>, avec quelques variantes</w:t>
      </w:r>
      <w:r w:rsidR="00736614">
        <w:t xml:space="preserve"> </w:t>
      </w:r>
      <w:r w:rsidR="00F73DC2">
        <w:t>[</w:t>
      </w:r>
      <w:r w:rsidR="001F2FDA">
        <w:t>9</w:t>
      </w:r>
      <w:r w:rsidR="00F73DC2">
        <w:t>] :</w:t>
      </w:r>
    </w:p>
    <w:p w14:paraId="6A2D718B" w14:textId="77777777" w:rsidR="00446D2E" w:rsidRDefault="00446D2E" w:rsidP="008A2CB4">
      <w:pPr>
        <w:pStyle w:val="Paragraphedeliste"/>
        <w:numPr>
          <w:ilvl w:val="0"/>
          <w:numId w:val="11"/>
        </w:numPr>
        <w:spacing w:before="120"/>
        <w:ind w:left="714" w:hanging="357"/>
      </w:pPr>
      <w:r w:rsidRPr="00446D2E">
        <w:rPr>
          <w:b/>
        </w:rPr>
        <w:t>La sobriété dimensionnelle</w:t>
      </w:r>
      <w:r>
        <w:t> : ajuster la capacité du service à l’usage courant ;</w:t>
      </w:r>
    </w:p>
    <w:p w14:paraId="6C69C0F4" w14:textId="77777777" w:rsidR="00F73DC2" w:rsidRDefault="00335CA2" w:rsidP="00F73DC2">
      <w:pPr>
        <w:pStyle w:val="Paragraphedeliste"/>
        <w:numPr>
          <w:ilvl w:val="0"/>
          <w:numId w:val="11"/>
        </w:numPr>
        <w:spacing w:before="120"/>
        <w:ind w:left="714" w:hanging="357"/>
      </w:pPr>
      <w:r w:rsidRPr="00446D2E">
        <w:rPr>
          <w:b/>
        </w:rPr>
        <w:t>La sobriété d’usage</w:t>
      </w:r>
      <w:r w:rsidR="00F73DC2">
        <w:t> : modérer la durée ou la fréquence d’usage</w:t>
      </w:r>
      <w:r w:rsidR="00272121">
        <w:t>s</w:t>
      </w:r>
      <w:r w:rsidR="00F73DC2">
        <w:t xml:space="preserve"> intensifs en énergie ;</w:t>
      </w:r>
    </w:p>
    <w:p w14:paraId="301C3A37" w14:textId="77777777" w:rsidR="00F73DC2" w:rsidRDefault="00335CA2" w:rsidP="00F73DC2">
      <w:pPr>
        <w:pStyle w:val="Paragraphedeliste"/>
        <w:numPr>
          <w:ilvl w:val="0"/>
          <w:numId w:val="11"/>
        </w:numPr>
      </w:pPr>
      <w:r w:rsidRPr="00446D2E">
        <w:rPr>
          <w:b/>
        </w:rPr>
        <w:t>La sobriété de substitution</w:t>
      </w:r>
      <w:r w:rsidR="00F73DC2">
        <w:t> :</w:t>
      </w:r>
      <w:r w:rsidR="00272121">
        <w:t xml:space="preserve"> remplacer un service énergétique intensif en un autre plus sobre ;</w:t>
      </w:r>
    </w:p>
    <w:p w14:paraId="45F22746" w14:textId="77777777" w:rsidR="00272121" w:rsidRDefault="00335CA2" w:rsidP="00F73DC2">
      <w:pPr>
        <w:pStyle w:val="Paragraphedeliste"/>
        <w:numPr>
          <w:ilvl w:val="0"/>
          <w:numId w:val="11"/>
        </w:numPr>
      </w:pPr>
      <w:r w:rsidRPr="00446D2E">
        <w:rPr>
          <w:b/>
        </w:rPr>
        <w:t>La sobriété collaborative</w:t>
      </w:r>
      <w:r w:rsidR="00272121">
        <w:t> : partager les services énergétiques afin de réduire le volume global.</w:t>
      </w:r>
    </w:p>
    <w:p w14:paraId="431015FE" w14:textId="28F67541" w:rsidR="00070D08" w:rsidRDefault="00570222" w:rsidP="008B6411">
      <w:r>
        <w:t xml:space="preserve">La </w:t>
      </w:r>
      <w:r w:rsidRPr="00BD0F4A">
        <w:rPr>
          <w:b/>
        </w:rPr>
        <w:t>sobriété de substitution</w:t>
      </w:r>
      <w:r>
        <w:t xml:space="preserve"> </w:t>
      </w:r>
      <w:r w:rsidR="00690CC6">
        <w:t>relève d’une logique « du moins consommant » pour rendre un même service</w:t>
      </w:r>
      <w:r w:rsidR="00690CC6" w:rsidRPr="00A93C30">
        <w:t xml:space="preserve">. </w:t>
      </w:r>
      <w:r w:rsidR="00A93C30" w:rsidRPr="00A93C30">
        <w:t>Il s’agit de satisfaire autant que possible un besoin en remplaçant un service énergique intensif par un autre qui l’est beaucoup moins (par exemple, rafraîchir un bâtiment en été à l’aide de ventilateurs plutôt que de climatiseurs</w:t>
      </w:r>
      <w:r w:rsidR="00A93C30">
        <w:t>, s’habiller plus chaudement en hiver pour éviter de monter le thermostat d'ambiance, faire à pied ou à vélo un trajet court au lieu de prendre sa voiture,</w:t>
      </w:r>
      <w:r w:rsidR="00756BAD">
        <w:t xml:space="preserve"> </w:t>
      </w:r>
      <w:r w:rsidR="005D6F52">
        <w:t>etc.</w:t>
      </w:r>
      <w:r w:rsidR="00A93C30" w:rsidRPr="00A93C30">
        <w:t>)</w:t>
      </w:r>
      <w:r w:rsidR="00A93C30">
        <w:t>.</w:t>
      </w:r>
    </w:p>
    <w:p w14:paraId="75D9735B" w14:textId="6690E407" w:rsidR="0019679D" w:rsidRDefault="00570222" w:rsidP="008B6411">
      <w:r>
        <w:t xml:space="preserve">La </w:t>
      </w:r>
      <w:r w:rsidRPr="00BD0F4A">
        <w:rPr>
          <w:b/>
        </w:rPr>
        <w:t>sobriété collaborative</w:t>
      </w:r>
      <w:r>
        <w:t xml:space="preserve"> </w:t>
      </w:r>
      <w:r w:rsidR="00251823" w:rsidRPr="00251823">
        <w:t>relève d’une logique de mutualisation des équipements et de leur utilisation</w:t>
      </w:r>
      <w:r w:rsidR="00251823">
        <w:t xml:space="preserve"> permettent de réduire les besoins en matériaux. Elle</w:t>
      </w:r>
      <w:r w:rsidR="00251823" w:rsidRPr="00251823">
        <w:t xml:space="preserve"> </w:t>
      </w:r>
      <w:r w:rsidRPr="00251823">
        <w:t>est déjà</w:t>
      </w:r>
      <w:r>
        <w:t xml:space="preserve"> entrée dans nos vies avec le partage de certains moyens de transport à l’image des </w:t>
      </w:r>
      <w:proofErr w:type="spellStart"/>
      <w:r>
        <w:t>Autolib</w:t>
      </w:r>
      <w:proofErr w:type="spellEnd"/>
      <w:r>
        <w:t>’ à Paris entre 2011 et 2018 ou des vélos</w:t>
      </w:r>
      <w:r w:rsidR="0006610B">
        <w:t xml:space="preserve"> en lib</w:t>
      </w:r>
      <w:r>
        <w:t>re-service qui existent maintenant dans de nombreuses villes.</w:t>
      </w:r>
    </w:p>
    <w:p w14:paraId="322B5C7A" w14:textId="77777777" w:rsidR="008B6411" w:rsidRDefault="00E25C3E" w:rsidP="008B6411">
      <w:r>
        <w:t>Nous proposons ici de déclin</w:t>
      </w:r>
      <w:r w:rsidR="009A2176">
        <w:t>er</w:t>
      </w:r>
      <w:r>
        <w:t xml:space="preserve"> l</w:t>
      </w:r>
      <w:r w:rsidR="00CC73EC">
        <w:t xml:space="preserve">a sobriété </w:t>
      </w:r>
      <w:r w:rsidR="00B84CF4">
        <w:t>à travers plusieurs pistes :</w:t>
      </w:r>
      <w:r w:rsidR="00CC73EC">
        <w:t xml:space="preserve"> l’utilisation de </w:t>
      </w:r>
      <w:r w:rsidR="00540965">
        <w:t xml:space="preserve">services et dispositifs dimensionnés </w:t>
      </w:r>
      <w:r w:rsidR="00CC73EC">
        <w:t>à la juste taille, la limitation des appareils connectés ou en veille</w:t>
      </w:r>
      <w:r w:rsidR="000709B6">
        <w:t xml:space="preserve">, une course ralentie au dernier modèle, ou encore un réemploi </w:t>
      </w:r>
      <w:r w:rsidR="00B11CCA">
        <w:t>des</w:t>
      </w:r>
      <w:r w:rsidR="00891A57">
        <w:t xml:space="preserve"> appareils ou </w:t>
      </w:r>
      <w:r w:rsidR="000709B6">
        <w:t>des matières premières</w:t>
      </w:r>
      <w:r w:rsidR="00B84CF4">
        <w:t xml:space="preserve"> non énergétiques</w:t>
      </w:r>
      <w:r w:rsidR="00891A57">
        <w:t xml:space="preserve"> recyclées</w:t>
      </w:r>
      <w:r w:rsidR="000709B6">
        <w:t>.</w:t>
      </w:r>
    </w:p>
    <w:p w14:paraId="448775E2" w14:textId="7F989F06" w:rsidR="00CC73EC" w:rsidRDefault="00CC73EC" w:rsidP="00CC73EC">
      <w:pPr>
        <w:pStyle w:val="Titre1"/>
      </w:pPr>
      <w:r>
        <w:t xml:space="preserve">3 – </w:t>
      </w:r>
      <w:r w:rsidR="00070D08">
        <w:t xml:space="preserve">Sobriété dimensionnelle (adaptation </w:t>
      </w:r>
      <w:r>
        <w:t>des capacités aux besoins</w:t>
      </w:r>
      <w:r w:rsidR="00070D08">
        <w:t>)</w:t>
      </w:r>
      <w:r w:rsidR="000F4EC2">
        <w:t xml:space="preserve"> </w:t>
      </w:r>
    </w:p>
    <w:p w14:paraId="1BC23678" w14:textId="77777777" w:rsidR="00E974C6" w:rsidRDefault="00E974C6" w:rsidP="00D03925">
      <w:pPr>
        <w:spacing w:after="0"/>
      </w:pPr>
      <w:r>
        <w:t xml:space="preserve">En matière de consommation énergétique, tout surdimensionnement conduit à une surconsommation d’énergie à service donné. </w:t>
      </w:r>
      <w:r w:rsidR="00D212A2">
        <w:t>Il</w:t>
      </w:r>
      <w:r>
        <w:t xml:space="preserve"> est </w:t>
      </w:r>
      <w:r w:rsidR="00D212A2">
        <w:t xml:space="preserve">donc </w:t>
      </w:r>
      <w:r>
        <w:t xml:space="preserve">souhaitable d’ajuster au mieux la taille (dimensions au sens propre) et la puissance nominale des convertisseurs d’énergie. Les deux cas qui pèsent le plus lourd dans nos consommations, concernent les bâtiments et les transports. Ajuster au mieux la superficie nécessaire, qu’il s’agisse de l’habitat et de tout autre fonction d’un bâtiment, permet de minimiser ses besoins de chauffage (et, le cas échéant, de </w:t>
      </w:r>
      <w:r w:rsidR="001A40CE">
        <w:t>rafraîchissement</w:t>
      </w:r>
      <w:r>
        <w:t xml:space="preserve">). En outre, à bâtiment donné, la puissance nominale du moyen de chauffage (chaudière, quel que soit le combustible) </w:t>
      </w:r>
      <w:r w:rsidR="00D212A2">
        <w:t xml:space="preserve">devrait </w:t>
      </w:r>
      <w:r>
        <w:t xml:space="preserve">être également minimisée car tout convertisseur d’énergie surdimensionné consommera plus, en usage normal, qu’un convertisseur de moindre puissance. </w:t>
      </w:r>
      <w:r w:rsidR="00260379">
        <w:t>L</w:t>
      </w:r>
      <w:r>
        <w:t xml:space="preserve">a situation est similaire dans le cas des automobiles en ce qui concerne leur taille et leur masse et la puissance de leur moteur. </w:t>
      </w:r>
      <w:r w:rsidR="00D212A2">
        <w:t>O</w:t>
      </w:r>
      <w:r>
        <w:t xml:space="preserve">n peut également ajouter leur aérodynamisme qui joue un rôle majeur dans leur consommation sur route et autoroute. </w:t>
      </w:r>
    </w:p>
    <w:p w14:paraId="04B06B7F" w14:textId="77777777" w:rsidR="000709B6" w:rsidRDefault="00E974C6" w:rsidP="005D6F52">
      <w:pPr>
        <w:spacing w:after="0"/>
      </w:pPr>
      <w:r>
        <w:lastRenderedPageBreak/>
        <w:t>Concernant l</w:t>
      </w:r>
      <w:r w:rsidR="000940F5" w:rsidRPr="00B84CF4">
        <w:t>es équipements électriques domestiques</w:t>
      </w:r>
      <w:r>
        <w:t>, leur taille</w:t>
      </w:r>
      <w:r w:rsidR="000940F5" w:rsidRPr="00B84CF4">
        <w:t xml:space="preserve"> devrait </w:t>
      </w:r>
      <w:r>
        <w:t xml:space="preserve">également </w:t>
      </w:r>
      <w:r w:rsidR="000940F5" w:rsidRPr="00B84CF4">
        <w:t xml:space="preserve">être </w:t>
      </w:r>
      <w:r w:rsidR="00435DB2">
        <w:t>adaptée</w:t>
      </w:r>
      <w:r w:rsidR="00435DB2" w:rsidRPr="00B84CF4">
        <w:t xml:space="preserve"> </w:t>
      </w:r>
      <w:r w:rsidR="000940F5" w:rsidRPr="00B84CF4">
        <w:t xml:space="preserve">en fonction </w:t>
      </w:r>
      <w:r w:rsidR="005D2E6C">
        <w:t xml:space="preserve">de leur capacité </w:t>
      </w:r>
      <w:r w:rsidR="00435DB2">
        <w:t xml:space="preserve"> au</w:t>
      </w:r>
      <w:r w:rsidR="000940F5" w:rsidRPr="00B84CF4">
        <w:t xml:space="preserve"> besoin : un</w:t>
      </w:r>
      <w:r w:rsidR="00CC73EC" w:rsidRPr="00B84CF4">
        <w:t xml:space="preserve"> lave-linge de grande capacité </w:t>
      </w:r>
      <w:r w:rsidR="00CC5CF3">
        <w:t>fonctionnant</w:t>
      </w:r>
      <w:r w:rsidR="00CC5CF3" w:rsidRPr="00B84CF4">
        <w:t xml:space="preserve"> </w:t>
      </w:r>
      <w:r w:rsidR="00CC73EC" w:rsidRPr="00B84CF4">
        <w:t>sans être totalement</w:t>
      </w:r>
      <w:r w:rsidR="00CC73EC">
        <w:t xml:space="preserve"> rempli</w:t>
      </w:r>
      <w:r w:rsidR="00725E40">
        <w:t xml:space="preserve">, bien qu’il existe des </w:t>
      </w:r>
      <w:r w:rsidR="00FD2512">
        <w:t>programmes</w:t>
      </w:r>
      <w:r w:rsidR="00725E40">
        <w:t xml:space="preserve"> à charge partielle, </w:t>
      </w:r>
      <w:r w:rsidR="00CC5CF3">
        <w:t>génère</w:t>
      </w:r>
      <w:r w:rsidR="006F062B">
        <w:t xml:space="preserve"> une </w:t>
      </w:r>
      <w:r w:rsidR="00FD2512">
        <w:t>sur</w:t>
      </w:r>
      <w:r w:rsidR="006F062B">
        <w:t>consommation</w:t>
      </w:r>
      <w:r w:rsidR="00CC73EC">
        <w:t xml:space="preserve"> d’électricité </w:t>
      </w:r>
      <w:r w:rsidR="000940F5">
        <w:t xml:space="preserve">(et </w:t>
      </w:r>
      <w:r w:rsidR="00CC73EC">
        <w:t>d’eau</w:t>
      </w:r>
      <w:r w:rsidR="005D2E6C">
        <w:t xml:space="preserve">) ; </w:t>
      </w:r>
      <w:r w:rsidR="000940F5">
        <w:t xml:space="preserve">un réfrigérateur de </w:t>
      </w:r>
      <w:r w:rsidR="003916E6">
        <w:t>200</w:t>
      </w:r>
      <w:r w:rsidR="000940F5">
        <w:t xml:space="preserve"> à 250 litres</w:t>
      </w:r>
      <w:r w:rsidR="00BC5DEB">
        <w:t xml:space="preserve"> de classe </w:t>
      </w:r>
      <w:r w:rsidR="00BE55D7">
        <w:t>N</w:t>
      </w:r>
      <w:r w:rsidR="00BE55D7" w:rsidRPr="00BE55D7">
        <w:t xml:space="preserve"> </w:t>
      </w:r>
      <w:r w:rsidR="00BC5DEB">
        <w:t>(</w:t>
      </w:r>
      <w:r w:rsidR="00BE55D7">
        <w:t>tempérée</w:t>
      </w:r>
      <w:r w:rsidR="00BC5DEB">
        <w:t>)</w:t>
      </w:r>
      <w:r w:rsidR="000940F5">
        <w:t xml:space="preserve"> pour un foyer de trois personnes</w:t>
      </w:r>
      <w:r w:rsidR="000940F5" w:rsidRPr="000940F5">
        <w:t xml:space="preserve"> </w:t>
      </w:r>
      <w:r w:rsidR="000940F5">
        <w:t xml:space="preserve">en France métropolitaine est </w:t>
      </w:r>
      <w:r w:rsidR="00CD475D">
        <w:t xml:space="preserve">optimal, contrairement  à </w:t>
      </w:r>
      <w:r w:rsidR="000940F5">
        <w:t>un réfrigérateur de classe climatique T (tropical) de 500 litres.</w:t>
      </w:r>
      <w:r w:rsidR="00504CE7">
        <w:t xml:space="preserve"> Le tableau</w:t>
      </w:r>
      <w:r w:rsidR="00FD2512">
        <w:t> </w:t>
      </w:r>
      <w:r w:rsidR="00504CE7">
        <w:t>1 présente quelques exemples de réfrigérateurs pouvant être combinés à un congélateur</w:t>
      </w:r>
      <w:r w:rsidR="00D10549">
        <w:t xml:space="preserve"> ou un compartiment. Un réfrigérateur </w:t>
      </w:r>
      <w:r w:rsidR="00725E40">
        <w:t xml:space="preserve">de 390 L et </w:t>
      </w:r>
      <w:r w:rsidR="00D10549">
        <w:t>de classe énergétique triple A</w:t>
      </w:r>
      <w:r w:rsidR="00435DB2">
        <w:rPr>
          <w:rStyle w:val="Appelnotedebasdep"/>
        </w:rPr>
        <w:footnoteReference w:id="2"/>
      </w:r>
      <w:r w:rsidR="00D10549">
        <w:t xml:space="preserve"> consomme 78 kWh/an, le réfrigérateur de classe énergétique double A à peine plus petit consomme déjà 114 Wh/an. On note l’impact du volume de congélation avec les deux réfrigérateurs triple A de 218 litres, leur volume de congélation du simple au double entraine une augmentation de consommation de 63 kWh/an. La consommation des frigos américains qui sont au </w:t>
      </w:r>
      <w:r w:rsidR="00D212A2">
        <w:t xml:space="preserve">plus </w:t>
      </w:r>
      <w:r w:rsidR="00D10549">
        <w:t>de classe énergétique double A, passe les 350 kWh/an.</w:t>
      </w:r>
    </w:p>
    <w:p w14:paraId="7F1888B3" w14:textId="77777777" w:rsidR="00BE55D7" w:rsidRDefault="00BE55D7" w:rsidP="00BE55D7">
      <w:pPr>
        <w:pStyle w:val="Sansinterligne"/>
      </w:pPr>
      <w:r w:rsidRPr="00BE55D7">
        <w:t xml:space="preserve"> </w:t>
      </w:r>
      <w:r>
        <w:rPr>
          <w:noProof/>
          <w:lang w:eastAsia="fr-FR"/>
        </w:rPr>
        <w:drawing>
          <wp:inline distT="0" distB="0" distL="0" distR="0" wp14:anchorId="2BC9772F" wp14:editId="6C79D86A">
            <wp:extent cx="3154989" cy="2309007"/>
            <wp:effectExtent l="0" t="0" r="7620" b="0"/>
            <wp:docPr id="10" name="Image 10" descr="classes climatiques des réfrigérateurs et congél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asses climatiques des réfrigérateurs et congélateurs"/>
                    <pic:cNvPicPr>
                      <a:picLocks noChangeAspect="1" noChangeArrowheads="1"/>
                    </pic:cNvPicPr>
                  </pic:nvPicPr>
                  <pic:blipFill rotWithShape="1">
                    <a:blip r:embed="rId17" cstate="print"/>
                    <a:srcRect t="2767"/>
                    <a:stretch/>
                  </pic:blipFill>
                  <pic:spPr bwMode="auto">
                    <a:xfrm>
                      <a:off x="0" y="0"/>
                      <a:ext cx="3193978" cy="233754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6B41499D" w14:textId="77777777" w:rsidR="00BE55D7" w:rsidRDefault="00C80CC4" w:rsidP="00FE4A62">
      <w:pPr>
        <w:pStyle w:val="Lgende"/>
        <w:spacing w:after="240"/>
      </w:pPr>
      <w:r>
        <w:t xml:space="preserve">Figure </w:t>
      </w:r>
      <w:r w:rsidR="009E14BA">
        <w:rPr>
          <w:noProof/>
        </w:rPr>
        <w:fldChar w:fldCharType="begin"/>
      </w:r>
      <w:r w:rsidR="00216667">
        <w:rPr>
          <w:noProof/>
        </w:rPr>
        <w:instrText xml:space="preserve"> SEQ Figure \* ARABIC </w:instrText>
      </w:r>
      <w:r w:rsidR="009E14BA">
        <w:rPr>
          <w:noProof/>
        </w:rPr>
        <w:fldChar w:fldCharType="separate"/>
      </w:r>
      <w:r w:rsidR="00C64908">
        <w:rPr>
          <w:noProof/>
        </w:rPr>
        <w:t>6</w:t>
      </w:r>
      <w:r w:rsidR="009E14BA">
        <w:rPr>
          <w:noProof/>
        </w:rPr>
        <w:fldChar w:fldCharType="end"/>
      </w:r>
      <w:r>
        <w:t> : Les différentes classes climatiques des réfrigérateurs et congélateurs, source [</w:t>
      </w:r>
      <w:r w:rsidR="00D212A2">
        <w:t>10</w:t>
      </w:r>
      <w:r>
        <w:t>]</w:t>
      </w:r>
    </w:p>
    <w:tbl>
      <w:tblPr>
        <w:tblStyle w:val="Grilledutableau"/>
        <w:tblW w:w="0" w:type="auto"/>
        <w:tblInd w:w="675" w:type="dxa"/>
        <w:tblLook w:val="04A0" w:firstRow="1" w:lastRow="0" w:firstColumn="1" w:lastColumn="0" w:noHBand="0" w:noVBand="1"/>
      </w:tblPr>
      <w:tblGrid>
        <w:gridCol w:w="1287"/>
        <w:gridCol w:w="1539"/>
        <w:gridCol w:w="1391"/>
        <w:gridCol w:w="1405"/>
        <w:gridCol w:w="1367"/>
        <w:gridCol w:w="1663"/>
      </w:tblGrid>
      <w:tr w:rsidR="00FE4A62" w14:paraId="40610A7D" w14:textId="77777777" w:rsidTr="009D400E">
        <w:tc>
          <w:tcPr>
            <w:tcW w:w="1287" w:type="dxa"/>
            <w:shd w:val="clear" w:color="auto" w:fill="D3EAF0" w:themeFill="accent1" w:themeFillTint="33"/>
            <w:vAlign w:val="center"/>
          </w:tcPr>
          <w:p w14:paraId="42B1FF5A" w14:textId="77777777" w:rsidR="00FE4A62" w:rsidRDefault="00FE4A62" w:rsidP="00B42BF5">
            <w:pPr>
              <w:spacing w:before="20" w:after="20"/>
              <w:jc w:val="center"/>
            </w:pPr>
            <w:r>
              <w:t>Nombre de porte</w:t>
            </w:r>
          </w:p>
        </w:tc>
        <w:tc>
          <w:tcPr>
            <w:tcW w:w="1539" w:type="dxa"/>
            <w:shd w:val="clear" w:color="auto" w:fill="D3EAF0" w:themeFill="accent1" w:themeFillTint="33"/>
            <w:vAlign w:val="center"/>
          </w:tcPr>
          <w:p w14:paraId="419DE827" w14:textId="77777777" w:rsidR="00FE4A62" w:rsidRDefault="00FE4A62" w:rsidP="00B42BF5">
            <w:pPr>
              <w:spacing w:before="20" w:after="20"/>
              <w:jc w:val="center"/>
            </w:pPr>
            <w:r>
              <w:t>Volume Réfrigérateur</w:t>
            </w:r>
          </w:p>
          <w:p w14:paraId="61DFEC71" w14:textId="77777777" w:rsidR="006D7EA8" w:rsidRDefault="006D7EA8" w:rsidP="00B42BF5">
            <w:pPr>
              <w:spacing w:before="20" w:after="20"/>
              <w:jc w:val="center"/>
            </w:pPr>
            <w:r>
              <w:t>[litres]</w:t>
            </w:r>
          </w:p>
        </w:tc>
        <w:tc>
          <w:tcPr>
            <w:tcW w:w="1391" w:type="dxa"/>
            <w:shd w:val="clear" w:color="auto" w:fill="D3EAF0" w:themeFill="accent1" w:themeFillTint="33"/>
            <w:vAlign w:val="center"/>
          </w:tcPr>
          <w:p w14:paraId="667EA7CE" w14:textId="77777777" w:rsidR="00FE4A62" w:rsidRDefault="00FE4A62" w:rsidP="00B42BF5">
            <w:pPr>
              <w:spacing w:before="20" w:after="20"/>
              <w:jc w:val="center"/>
            </w:pPr>
            <w:r>
              <w:t>Volume congélateur</w:t>
            </w:r>
          </w:p>
          <w:p w14:paraId="23F8743C" w14:textId="77777777" w:rsidR="006D7EA8" w:rsidRDefault="006D7EA8" w:rsidP="00B42BF5">
            <w:pPr>
              <w:spacing w:before="20" w:after="20"/>
              <w:jc w:val="center"/>
            </w:pPr>
            <w:r>
              <w:t>[litres]</w:t>
            </w:r>
          </w:p>
        </w:tc>
        <w:tc>
          <w:tcPr>
            <w:tcW w:w="1405" w:type="dxa"/>
            <w:shd w:val="clear" w:color="auto" w:fill="D3EAF0" w:themeFill="accent1" w:themeFillTint="33"/>
            <w:vAlign w:val="center"/>
          </w:tcPr>
          <w:p w14:paraId="0D8FF8F1" w14:textId="77777777" w:rsidR="00FE4A62" w:rsidRDefault="00FE4A62" w:rsidP="00B42BF5">
            <w:pPr>
              <w:spacing w:before="20" w:after="20"/>
              <w:jc w:val="center"/>
            </w:pPr>
            <w:r>
              <w:t>Classe énergétique</w:t>
            </w:r>
          </w:p>
        </w:tc>
        <w:tc>
          <w:tcPr>
            <w:tcW w:w="1367" w:type="dxa"/>
            <w:shd w:val="clear" w:color="auto" w:fill="D3EAF0" w:themeFill="accent1" w:themeFillTint="33"/>
            <w:vAlign w:val="center"/>
          </w:tcPr>
          <w:p w14:paraId="674DF28A" w14:textId="77777777" w:rsidR="00FE4A62" w:rsidRDefault="00FE4A62" w:rsidP="00B42BF5">
            <w:pPr>
              <w:spacing w:before="20" w:after="20"/>
              <w:jc w:val="center"/>
            </w:pPr>
            <w:r>
              <w:t>Classe climatique</w:t>
            </w:r>
          </w:p>
        </w:tc>
        <w:tc>
          <w:tcPr>
            <w:tcW w:w="1663" w:type="dxa"/>
            <w:shd w:val="clear" w:color="auto" w:fill="D3EAF0" w:themeFill="accent1" w:themeFillTint="33"/>
            <w:vAlign w:val="center"/>
          </w:tcPr>
          <w:p w14:paraId="345E92CB" w14:textId="77777777" w:rsidR="00FE4A62" w:rsidRDefault="00FE4A62" w:rsidP="00B42BF5">
            <w:pPr>
              <w:spacing w:before="20" w:after="20"/>
              <w:jc w:val="center"/>
            </w:pPr>
            <w:r>
              <w:t>Consommation annuelle</w:t>
            </w:r>
          </w:p>
          <w:p w14:paraId="2B32367C" w14:textId="77777777" w:rsidR="006D7EA8" w:rsidRDefault="006D7EA8" w:rsidP="00B42BF5">
            <w:pPr>
              <w:spacing w:before="20" w:after="20"/>
              <w:jc w:val="center"/>
            </w:pPr>
            <w:r>
              <w:t>[kWh/an]</w:t>
            </w:r>
          </w:p>
        </w:tc>
      </w:tr>
      <w:tr w:rsidR="00FE4A62" w14:paraId="7F6AAB7C" w14:textId="77777777" w:rsidTr="009D400E">
        <w:tc>
          <w:tcPr>
            <w:tcW w:w="1287" w:type="dxa"/>
          </w:tcPr>
          <w:p w14:paraId="65DC3646" w14:textId="77777777" w:rsidR="00FE4A62" w:rsidRDefault="00FE4A62" w:rsidP="00B42BF5">
            <w:pPr>
              <w:spacing w:before="60" w:after="60"/>
              <w:jc w:val="center"/>
            </w:pPr>
            <w:r>
              <w:t>1</w:t>
            </w:r>
          </w:p>
        </w:tc>
        <w:tc>
          <w:tcPr>
            <w:tcW w:w="1539" w:type="dxa"/>
          </w:tcPr>
          <w:p w14:paraId="4C1B059A" w14:textId="77777777" w:rsidR="00FE4A62" w:rsidRDefault="006D7EA8" w:rsidP="00B42BF5">
            <w:pPr>
              <w:spacing w:before="60" w:after="60"/>
              <w:jc w:val="center"/>
            </w:pPr>
            <w:r>
              <w:t>390</w:t>
            </w:r>
          </w:p>
        </w:tc>
        <w:tc>
          <w:tcPr>
            <w:tcW w:w="1391" w:type="dxa"/>
          </w:tcPr>
          <w:p w14:paraId="43B2CD8C" w14:textId="77777777" w:rsidR="00FE4A62" w:rsidRDefault="00FE4A62" w:rsidP="00B42BF5">
            <w:pPr>
              <w:spacing w:before="60" w:after="60"/>
              <w:jc w:val="center"/>
            </w:pPr>
            <w:r>
              <w:t>-</w:t>
            </w:r>
          </w:p>
        </w:tc>
        <w:tc>
          <w:tcPr>
            <w:tcW w:w="1405" w:type="dxa"/>
          </w:tcPr>
          <w:p w14:paraId="3D843D37" w14:textId="77777777" w:rsidR="00FE4A62" w:rsidRDefault="00FE4A62" w:rsidP="00B42BF5">
            <w:pPr>
              <w:spacing w:before="60" w:after="60"/>
              <w:jc w:val="center"/>
            </w:pPr>
            <w:r>
              <w:t>A+++</w:t>
            </w:r>
          </w:p>
        </w:tc>
        <w:tc>
          <w:tcPr>
            <w:tcW w:w="1367" w:type="dxa"/>
          </w:tcPr>
          <w:p w14:paraId="152D3A27" w14:textId="77777777" w:rsidR="00FE4A62" w:rsidRDefault="00FE4A62" w:rsidP="00B42BF5">
            <w:pPr>
              <w:spacing w:before="60" w:after="60"/>
              <w:jc w:val="center"/>
            </w:pPr>
            <w:r>
              <w:t>SN-T</w:t>
            </w:r>
          </w:p>
        </w:tc>
        <w:tc>
          <w:tcPr>
            <w:tcW w:w="1663" w:type="dxa"/>
          </w:tcPr>
          <w:p w14:paraId="031CB57A" w14:textId="77777777" w:rsidR="00FE4A62" w:rsidRDefault="00FE4A62" w:rsidP="00B42BF5">
            <w:pPr>
              <w:spacing w:before="60" w:after="60"/>
              <w:jc w:val="center"/>
            </w:pPr>
            <w:r>
              <w:t xml:space="preserve">78 </w:t>
            </w:r>
          </w:p>
        </w:tc>
      </w:tr>
      <w:tr w:rsidR="00FE4A62" w14:paraId="55BB1B04" w14:textId="77777777" w:rsidTr="009D400E">
        <w:tc>
          <w:tcPr>
            <w:tcW w:w="1287" w:type="dxa"/>
          </w:tcPr>
          <w:p w14:paraId="3A41ADA9" w14:textId="77777777" w:rsidR="00FE4A62" w:rsidRDefault="00FE4A62" w:rsidP="00B42BF5">
            <w:pPr>
              <w:spacing w:before="60" w:after="60"/>
              <w:jc w:val="center"/>
            </w:pPr>
            <w:r>
              <w:t>1</w:t>
            </w:r>
          </w:p>
        </w:tc>
        <w:tc>
          <w:tcPr>
            <w:tcW w:w="1539" w:type="dxa"/>
          </w:tcPr>
          <w:p w14:paraId="04AFEF4F" w14:textId="77777777" w:rsidR="00FE4A62" w:rsidRDefault="00FE4A62" w:rsidP="00B42BF5">
            <w:pPr>
              <w:spacing w:before="60" w:after="60"/>
              <w:jc w:val="center"/>
            </w:pPr>
            <w:r>
              <w:t>363</w:t>
            </w:r>
          </w:p>
        </w:tc>
        <w:tc>
          <w:tcPr>
            <w:tcW w:w="1391" w:type="dxa"/>
          </w:tcPr>
          <w:p w14:paraId="6C7C650A" w14:textId="77777777" w:rsidR="00FE4A62" w:rsidRDefault="00FE4A62" w:rsidP="00B42BF5">
            <w:pPr>
              <w:spacing w:before="60" w:after="60"/>
              <w:jc w:val="center"/>
            </w:pPr>
            <w:r>
              <w:t>-</w:t>
            </w:r>
          </w:p>
        </w:tc>
        <w:tc>
          <w:tcPr>
            <w:tcW w:w="1405" w:type="dxa"/>
          </w:tcPr>
          <w:p w14:paraId="7B3D2B70" w14:textId="77777777" w:rsidR="00FE4A62" w:rsidRDefault="00FE4A62" w:rsidP="00B42BF5">
            <w:pPr>
              <w:spacing w:before="60" w:after="60"/>
              <w:jc w:val="center"/>
            </w:pPr>
            <w:r>
              <w:t>A++</w:t>
            </w:r>
          </w:p>
        </w:tc>
        <w:tc>
          <w:tcPr>
            <w:tcW w:w="1367" w:type="dxa"/>
          </w:tcPr>
          <w:p w14:paraId="74B85CCC" w14:textId="77777777" w:rsidR="00FE4A62" w:rsidRDefault="00FE4A62" w:rsidP="00B42BF5">
            <w:pPr>
              <w:spacing w:before="60" w:after="60"/>
              <w:jc w:val="center"/>
            </w:pPr>
            <w:r>
              <w:t>SN-T</w:t>
            </w:r>
          </w:p>
        </w:tc>
        <w:tc>
          <w:tcPr>
            <w:tcW w:w="1663" w:type="dxa"/>
          </w:tcPr>
          <w:p w14:paraId="5FCCFAB7" w14:textId="77777777" w:rsidR="00FE4A62" w:rsidRDefault="006D7EA8" w:rsidP="00B42BF5">
            <w:pPr>
              <w:spacing w:before="60" w:after="60"/>
              <w:jc w:val="center"/>
            </w:pPr>
            <w:r>
              <w:t>114</w:t>
            </w:r>
          </w:p>
        </w:tc>
      </w:tr>
      <w:tr w:rsidR="00FE4A62" w14:paraId="77FECB5C" w14:textId="77777777" w:rsidTr="009D400E">
        <w:tc>
          <w:tcPr>
            <w:tcW w:w="1287" w:type="dxa"/>
          </w:tcPr>
          <w:p w14:paraId="06084ECF" w14:textId="77777777" w:rsidR="00FE4A62" w:rsidRDefault="00FE4A62" w:rsidP="00B42BF5">
            <w:pPr>
              <w:spacing w:before="60" w:after="60"/>
              <w:jc w:val="center"/>
            </w:pPr>
            <w:r>
              <w:t>1</w:t>
            </w:r>
          </w:p>
        </w:tc>
        <w:tc>
          <w:tcPr>
            <w:tcW w:w="1539" w:type="dxa"/>
          </w:tcPr>
          <w:p w14:paraId="07C41353" w14:textId="77777777" w:rsidR="00FE4A62" w:rsidRDefault="006D7EA8" w:rsidP="00B42BF5">
            <w:pPr>
              <w:spacing w:before="60" w:after="60"/>
              <w:jc w:val="center"/>
            </w:pPr>
            <w:r>
              <w:t>218</w:t>
            </w:r>
          </w:p>
        </w:tc>
        <w:tc>
          <w:tcPr>
            <w:tcW w:w="1391" w:type="dxa"/>
          </w:tcPr>
          <w:p w14:paraId="08260C81" w14:textId="77777777" w:rsidR="00FE4A62" w:rsidRDefault="006D7EA8" w:rsidP="00B42BF5">
            <w:pPr>
              <w:spacing w:before="60" w:after="60"/>
              <w:jc w:val="center"/>
            </w:pPr>
            <w:r>
              <w:t>26</w:t>
            </w:r>
          </w:p>
        </w:tc>
        <w:tc>
          <w:tcPr>
            <w:tcW w:w="1405" w:type="dxa"/>
          </w:tcPr>
          <w:p w14:paraId="36BA70EE" w14:textId="77777777" w:rsidR="00FE4A62" w:rsidRDefault="00FE4A62" w:rsidP="00B42BF5">
            <w:pPr>
              <w:spacing w:before="60" w:after="60"/>
              <w:jc w:val="center"/>
            </w:pPr>
            <w:r>
              <w:t>A+++</w:t>
            </w:r>
          </w:p>
        </w:tc>
        <w:tc>
          <w:tcPr>
            <w:tcW w:w="1367" w:type="dxa"/>
          </w:tcPr>
          <w:p w14:paraId="298B198D" w14:textId="77777777" w:rsidR="00FE4A62" w:rsidRDefault="00FE4A62" w:rsidP="00B42BF5">
            <w:pPr>
              <w:spacing w:before="60" w:after="60"/>
              <w:jc w:val="center"/>
            </w:pPr>
            <w:r>
              <w:t>SN-T</w:t>
            </w:r>
          </w:p>
        </w:tc>
        <w:tc>
          <w:tcPr>
            <w:tcW w:w="1663" w:type="dxa"/>
          </w:tcPr>
          <w:p w14:paraId="58600DD0" w14:textId="77777777" w:rsidR="00FE4A62" w:rsidRDefault="006D7EA8" w:rsidP="00B42BF5">
            <w:pPr>
              <w:spacing w:before="60" w:after="60"/>
              <w:jc w:val="center"/>
            </w:pPr>
            <w:r>
              <w:t>139</w:t>
            </w:r>
          </w:p>
        </w:tc>
      </w:tr>
      <w:tr w:rsidR="00FE4A62" w14:paraId="0315B376" w14:textId="77777777" w:rsidTr="009D400E">
        <w:tc>
          <w:tcPr>
            <w:tcW w:w="1287" w:type="dxa"/>
          </w:tcPr>
          <w:p w14:paraId="04CC90B8" w14:textId="77777777" w:rsidR="00FE4A62" w:rsidRDefault="00FE4A62" w:rsidP="00B42BF5">
            <w:pPr>
              <w:spacing w:before="60" w:after="60"/>
              <w:jc w:val="center"/>
            </w:pPr>
            <w:r>
              <w:t>2</w:t>
            </w:r>
          </w:p>
        </w:tc>
        <w:tc>
          <w:tcPr>
            <w:tcW w:w="1539" w:type="dxa"/>
          </w:tcPr>
          <w:p w14:paraId="36D8A5E8" w14:textId="77777777" w:rsidR="00FE4A62" w:rsidRDefault="006D7EA8" w:rsidP="00B42BF5">
            <w:pPr>
              <w:spacing w:before="60" w:after="60"/>
              <w:jc w:val="center"/>
            </w:pPr>
            <w:r>
              <w:t>218</w:t>
            </w:r>
          </w:p>
        </w:tc>
        <w:tc>
          <w:tcPr>
            <w:tcW w:w="1391" w:type="dxa"/>
          </w:tcPr>
          <w:p w14:paraId="30617E90" w14:textId="77777777" w:rsidR="00FE4A62" w:rsidRDefault="006D7EA8" w:rsidP="00B42BF5">
            <w:pPr>
              <w:spacing w:before="60" w:after="60"/>
              <w:jc w:val="center"/>
            </w:pPr>
            <w:r>
              <w:t>52</w:t>
            </w:r>
          </w:p>
        </w:tc>
        <w:tc>
          <w:tcPr>
            <w:tcW w:w="1405" w:type="dxa"/>
          </w:tcPr>
          <w:p w14:paraId="27412684" w14:textId="77777777" w:rsidR="00FE4A62" w:rsidRDefault="00FE4A62" w:rsidP="00B42BF5">
            <w:pPr>
              <w:spacing w:before="60" w:after="60"/>
              <w:jc w:val="center"/>
            </w:pPr>
            <w:r>
              <w:t>A+++</w:t>
            </w:r>
          </w:p>
        </w:tc>
        <w:tc>
          <w:tcPr>
            <w:tcW w:w="1367" w:type="dxa"/>
          </w:tcPr>
          <w:p w14:paraId="096F6561" w14:textId="77777777" w:rsidR="00FE4A62" w:rsidRDefault="00FE4A62" w:rsidP="00B42BF5">
            <w:pPr>
              <w:spacing w:before="60" w:after="60"/>
              <w:jc w:val="center"/>
            </w:pPr>
            <w:r>
              <w:t>SN-T</w:t>
            </w:r>
          </w:p>
        </w:tc>
        <w:tc>
          <w:tcPr>
            <w:tcW w:w="1663" w:type="dxa"/>
          </w:tcPr>
          <w:p w14:paraId="11910266" w14:textId="77777777" w:rsidR="00FE4A62" w:rsidRDefault="006D7EA8" w:rsidP="00B42BF5">
            <w:pPr>
              <w:spacing w:before="60" w:after="60"/>
              <w:jc w:val="center"/>
            </w:pPr>
            <w:r>
              <w:t>202</w:t>
            </w:r>
          </w:p>
        </w:tc>
      </w:tr>
      <w:tr w:rsidR="00B42BF5" w14:paraId="5158DA91" w14:textId="77777777" w:rsidTr="009D400E">
        <w:tc>
          <w:tcPr>
            <w:tcW w:w="1287" w:type="dxa"/>
          </w:tcPr>
          <w:p w14:paraId="72927661" w14:textId="77777777" w:rsidR="00B42BF5" w:rsidRDefault="00B42BF5" w:rsidP="00B42BF5">
            <w:pPr>
              <w:spacing w:before="60" w:after="60"/>
              <w:jc w:val="center"/>
            </w:pPr>
            <w:r>
              <w:t>2</w:t>
            </w:r>
          </w:p>
        </w:tc>
        <w:tc>
          <w:tcPr>
            <w:tcW w:w="1539" w:type="dxa"/>
          </w:tcPr>
          <w:p w14:paraId="77D45023" w14:textId="77777777" w:rsidR="00B42BF5" w:rsidRDefault="00B42BF5" w:rsidP="00B42BF5">
            <w:pPr>
              <w:spacing w:before="60" w:after="60"/>
              <w:jc w:val="center"/>
            </w:pPr>
            <w:r>
              <w:t>213</w:t>
            </w:r>
          </w:p>
        </w:tc>
        <w:tc>
          <w:tcPr>
            <w:tcW w:w="1391" w:type="dxa"/>
          </w:tcPr>
          <w:p w14:paraId="27134B06" w14:textId="77777777" w:rsidR="00B42BF5" w:rsidRDefault="00B42BF5" w:rsidP="00B42BF5">
            <w:pPr>
              <w:spacing w:before="60" w:after="60"/>
              <w:jc w:val="center"/>
            </w:pPr>
            <w:r>
              <w:t>98</w:t>
            </w:r>
          </w:p>
        </w:tc>
        <w:tc>
          <w:tcPr>
            <w:tcW w:w="1405" w:type="dxa"/>
          </w:tcPr>
          <w:p w14:paraId="2A31E5D8" w14:textId="77777777" w:rsidR="00B42BF5" w:rsidRDefault="00B42BF5" w:rsidP="00B42BF5">
            <w:pPr>
              <w:spacing w:before="60" w:after="60"/>
              <w:jc w:val="center"/>
            </w:pPr>
            <w:r>
              <w:t>A+</w:t>
            </w:r>
          </w:p>
        </w:tc>
        <w:tc>
          <w:tcPr>
            <w:tcW w:w="1367" w:type="dxa"/>
          </w:tcPr>
          <w:p w14:paraId="574B5FF1" w14:textId="77777777" w:rsidR="00B42BF5" w:rsidRDefault="00B42BF5" w:rsidP="00B42BF5">
            <w:pPr>
              <w:spacing w:before="60" w:after="60"/>
              <w:jc w:val="center"/>
            </w:pPr>
            <w:r>
              <w:t>SN-ST</w:t>
            </w:r>
          </w:p>
        </w:tc>
        <w:tc>
          <w:tcPr>
            <w:tcW w:w="1663" w:type="dxa"/>
          </w:tcPr>
          <w:p w14:paraId="01AC7D8A" w14:textId="77777777" w:rsidR="00B42BF5" w:rsidRDefault="00B42BF5" w:rsidP="00B42BF5">
            <w:pPr>
              <w:spacing w:before="60" w:after="60"/>
              <w:jc w:val="center"/>
            </w:pPr>
            <w:r>
              <w:t>272</w:t>
            </w:r>
          </w:p>
        </w:tc>
      </w:tr>
      <w:tr w:rsidR="00FE4A62" w14:paraId="7D6C0D19" w14:textId="77777777" w:rsidTr="009D400E">
        <w:tc>
          <w:tcPr>
            <w:tcW w:w="1287" w:type="dxa"/>
          </w:tcPr>
          <w:p w14:paraId="58C5D8CC" w14:textId="77777777" w:rsidR="00FE4A62" w:rsidRDefault="00FE4A62" w:rsidP="00B42BF5">
            <w:pPr>
              <w:spacing w:before="60" w:after="60"/>
              <w:jc w:val="center"/>
            </w:pPr>
            <w:r>
              <w:t>américain</w:t>
            </w:r>
          </w:p>
        </w:tc>
        <w:tc>
          <w:tcPr>
            <w:tcW w:w="1539" w:type="dxa"/>
          </w:tcPr>
          <w:p w14:paraId="391AFF13" w14:textId="77777777" w:rsidR="00FE4A62" w:rsidRDefault="006D7EA8" w:rsidP="00B42BF5">
            <w:pPr>
              <w:spacing w:before="60" w:after="60"/>
              <w:jc w:val="center"/>
            </w:pPr>
            <w:r>
              <w:t>371</w:t>
            </w:r>
          </w:p>
        </w:tc>
        <w:tc>
          <w:tcPr>
            <w:tcW w:w="1391" w:type="dxa"/>
          </w:tcPr>
          <w:p w14:paraId="5BB84422" w14:textId="77777777" w:rsidR="00FE4A62" w:rsidRDefault="006D7EA8" w:rsidP="00B42BF5">
            <w:pPr>
              <w:spacing w:before="60" w:after="60"/>
              <w:jc w:val="center"/>
            </w:pPr>
            <w:r>
              <w:t>189</w:t>
            </w:r>
          </w:p>
        </w:tc>
        <w:tc>
          <w:tcPr>
            <w:tcW w:w="1405" w:type="dxa"/>
          </w:tcPr>
          <w:p w14:paraId="471AAA16" w14:textId="77777777" w:rsidR="00FE4A62" w:rsidRDefault="00FE4A62" w:rsidP="00B42BF5">
            <w:pPr>
              <w:spacing w:before="60" w:after="60"/>
              <w:jc w:val="center"/>
            </w:pPr>
            <w:r>
              <w:t>A+</w:t>
            </w:r>
          </w:p>
        </w:tc>
        <w:tc>
          <w:tcPr>
            <w:tcW w:w="1367" w:type="dxa"/>
          </w:tcPr>
          <w:p w14:paraId="64FBF0BF" w14:textId="77777777" w:rsidR="00FE4A62" w:rsidRDefault="00FE4A62" w:rsidP="00B42BF5">
            <w:pPr>
              <w:spacing w:before="60" w:after="60"/>
              <w:jc w:val="center"/>
            </w:pPr>
            <w:r>
              <w:t>SN-T</w:t>
            </w:r>
          </w:p>
        </w:tc>
        <w:tc>
          <w:tcPr>
            <w:tcW w:w="1663" w:type="dxa"/>
          </w:tcPr>
          <w:p w14:paraId="304FB8AA" w14:textId="77777777" w:rsidR="00FE4A62" w:rsidRDefault="006D7EA8" w:rsidP="00B42BF5">
            <w:pPr>
              <w:spacing w:before="60" w:after="60"/>
              <w:jc w:val="center"/>
            </w:pPr>
            <w:r>
              <w:t>363</w:t>
            </w:r>
          </w:p>
        </w:tc>
      </w:tr>
      <w:tr w:rsidR="00FE4A62" w14:paraId="453E4F29" w14:textId="77777777" w:rsidTr="009D400E">
        <w:tc>
          <w:tcPr>
            <w:tcW w:w="1287" w:type="dxa"/>
          </w:tcPr>
          <w:p w14:paraId="353F72E4" w14:textId="77777777" w:rsidR="00FE4A62" w:rsidRDefault="00FE4A62" w:rsidP="00B42BF5">
            <w:pPr>
              <w:spacing w:before="60" w:after="60"/>
              <w:jc w:val="center"/>
            </w:pPr>
            <w:r>
              <w:t>américain</w:t>
            </w:r>
          </w:p>
        </w:tc>
        <w:tc>
          <w:tcPr>
            <w:tcW w:w="1539" w:type="dxa"/>
          </w:tcPr>
          <w:p w14:paraId="5E276394" w14:textId="77777777" w:rsidR="00FE4A62" w:rsidRDefault="006D7EA8" w:rsidP="00B42BF5">
            <w:pPr>
              <w:spacing w:before="60" w:after="60"/>
              <w:jc w:val="center"/>
            </w:pPr>
            <w:r>
              <w:t>405</w:t>
            </w:r>
          </w:p>
        </w:tc>
        <w:tc>
          <w:tcPr>
            <w:tcW w:w="1391" w:type="dxa"/>
          </w:tcPr>
          <w:p w14:paraId="2823FAEF" w14:textId="77777777" w:rsidR="00FE4A62" w:rsidRDefault="006D7EA8" w:rsidP="00B42BF5">
            <w:pPr>
              <w:spacing w:before="60" w:after="60"/>
              <w:jc w:val="center"/>
            </w:pPr>
            <w:r>
              <w:t>196</w:t>
            </w:r>
          </w:p>
        </w:tc>
        <w:tc>
          <w:tcPr>
            <w:tcW w:w="1405" w:type="dxa"/>
          </w:tcPr>
          <w:p w14:paraId="075E7852" w14:textId="77777777" w:rsidR="00FE4A62" w:rsidRDefault="00FE4A62" w:rsidP="00B42BF5">
            <w:pPr>
              <w:spacing w:before="60" w:after="60"/>
              <w:jc w:val="center"/>
            </w:pPr>
            <w:r>
              <w:t>A++</w:t>
            </w:r>
          </w:p>
        </w:tc>
        <w:tc>
          <w:tcPr>
            <w:tcW w:w="1367" w:type="dxa"/>
          </w:tcPr>
          <w:p w14:paraId="4E3A9EEE" w14:textId="77777777" w:rsidR="00FE4A62" w:rsidRDefault="00FE4A62" w:rsidP="00B42BF5">
            <w:pPr>
              <w:spacing w:before="60" w:after="60"/>
              <w:jc w:val="center"/>
            </w:pPr>
            <w:r>
              <w:t>T</w:t>
            </w:r>
          </w:p>
        </w:tc>
        <w:tc>
          <w:tcPr>
            <w:tcW w:w="1663" w:type="dxa"/>
          </w:tcPr>
          <w:p w14:paraId="39EFF2B1" w14:textId="77777777" w:rsidR="00FE4A62" w:rsidRDefault="006D7EA8" w:rsidP="00B42BF5">
            <w:pPr>
              <w:spacing w:before="60" w:after="60"/>
              <w:jc w:val="center"/>
            </w:pPr>
            <w:r>
              <w:t>376</w:t>
            </w:r>
          </w:p>
        </w:tc>
      </w:tr>
      <w:tr w:rsidR="006D7EA8" w14:paraId="33FE46C1" w14:textId="77777777" w:rsidTr="009D400E">
        <w:tc>
          <w:tcPr>
            <w:tcW w:w="1287" w:type="dxa"/>
          </w:tcPr>
          <w:p w14:paraId="026FB017" w14:textId="77777777" w:rsidR="006D7EA8" w:rsidRDefault="006D7EA8" w:rsidP="00B42BF5">
            <w:pPr>
              <w:spacing w:before="60" w:after="60"/>
              <w:jc w:val="center"/>
            </w:pPr>
            <w:r>
              <w:t>américain</w:t>
            </w:r>
          </w:p>
        </w:tc>
        <w:tc>
          <w:tcPr>
            <w:tcW w:w="1539" w:type="dxa"/>
          </w:tcPr>
          <w:p w14:paraId="11C30DD1" w14:textId="77777777" w:rsidR="006D7EA8" w:rsidRDefault="006D7EA8" w:rsidP="00B42BF5">
            <w:pPr>
              <w:spacing w:before="60" w:after="60"/>
              <w:jc w:val="center"/>
            </w:pPr>
            <w:r>
              <w:t>405</w:t>
            </w:r>
          </w:p>
        </w:tc>
        <w:tc>
          <w:tcPr>
            <w:tcW w:w="1391" w:type="dxa"/>
          </w:tcPr>
          <w:p w14:paraId="02F5CBE5" w14:textId="77777777" w:rsidR="006D7EA8" w:rsidRDefault="006D7EA8" w:rsidP="00B42BF5">
            <w:pPr>
              <w:spacing w:before="60" w:after="60"/>
              <w:jc w:val="center"/>
            </w:pPr>
            <w:r>
              <w:t>196</w:t>
            </w:r>
          </w:p>
        </w:tc>
        <w:tc>
          <w:tcPr>
            <w:tcW w:w="1405" w:type="dxa"/>
          </w:tcPr>
          <w:p w14:paraId="2A9BC6D1" w14:textId="77777777" w:rsidR="006D7EA8" w:rsidRDefault="006D7EA8" w:rsidP="00B42BF5">
            <w:pPr>
              <w:spacing w:before="60" w:after="60"/>
              <w:jc w:val="center"/>
            </w:pPr>
            <w:r>
              <w:t>A+</w:t>
            </w:r>
          </w:p>
        </w:tc>
        <w:tc>
          <w:tcPr>
            <w:tcW w:w="1367" w:type="dxa"/>
          </w:tcPr>
          <w:p w14:paraId="3527035D" w14:textId="77777777" w:rsidR="006D7EA8" w:rsidRDefault="006D7EA8" w:rsidP="00B42BF5">
            <w:pPr>
              <w:spacing w:before="60" w:after="60"/>
              <w:jc w:val="center"/>
            </w:pPr>
            <w:r>
              <w:t>T</w:t>
            </w:r>
          </w:p>
        </w:tc>
        <w:tc>
          <w:tcPr>
            <w:tcW w:w="1663" w:type="dxa"/>
          </w:tcPr>
          <w:p w14:paraId="34B8E38C" w14:textId="77777777" w:rsidR="006D7EA8" w:rsidRDefault="006D7EA8" w:rsidP="00B42BF5">
            <w:pPr>
              <w:spacing w:before="60" w:after="60"/>
              <w:jc w:val="center"/>
            </w:pPr>
            <w:r>
              <w:t>419</w:t>
            </w:r>
          </w:p>
        </w:tc>
      </w:tr>
    </w:tbl>
    <w:p w14:paraId="3CED2C3C" w14:textId="77777777" w:rsidR="00FE4A62" w:rsidRDefault="00FE4A62" w:rsidP="00FE4A62">
      <w:pPr>
        <w:pStyle w:val="Lgende"/>
      </w:pPr>
      <w:r>
        <w:t xml:space="preserve">Tableau </w:t>
      </w:r>
      <w:r w:rsidR="009E14BA">
        <w:rPr>
          <w:noProof/>
        </w:rPr>
        <w:fldChar w:fldCharType="begin"/>
      </w:r>
      <w:r w:rsidR="00216667">
        <w:rPr>
          <w:noProof/>
        </w:rPr>
        <w:instrText xml:space="preserve"> SEQ Tableau \* ARABIC </w:instrText>
      </w:r>
      <w:r w:rsidR="009E14BA">
        <w:rPr>
          <w:noProof/>
        </w:rPr>
        <w:fldChar w:fldCharType="separate"/>
      </w:r>
      <w:r w:rsidR="00C64908">
        <w:rPr>
          <w:noProof/>
        </w:rPr>
        <w:t>1</w:t>
      </w:r>
      <w:r w:rsidR="009E14BA">
        <w:rPr>
          <w:noProof/>
        </w:rPr>
        <w:fldChar w:fldCharType="end"/>
      </w:r>
      <w:r>
        <w:t> : E</w:t>
      </w:r>
      <w:r w:rsidR="00B42BF5">
        <w:t xml:space="preserve">xemples de </w:t>
      </w:r>
      <w:r>
        <w:t>consommations annuelles de réfrigérateur-congélateur en fonction du volume et des classes énergétique et climatique, source [</w:t>
      </w:r>
      <w:r w:rsidR="00D212A2">
        <w:t>11</w:t>
      </w:r>
      <w:r>
        <w:t>]</w:t>
      </w:r>
    </w:p>
    <w:p w14:paraId="71C6D6A1" w14:textId="77777777" w:rsidR="00E974C6" w:rsidRPr="00E974C6" w:rsidRDefault="00146392" w:rsidP="002612AF">
      <w:r>
        <w:t>L</w:t>
      </w:r>
      <w:r w:rsidR="00E974C6">
        <w:t>es choix de dimensionnement</w:t>
      </w:r>
      <w:r w:rsidR="002612AF">
        <w:t xml:space="preserve"> de nos services courants</w:t>
      </w:r>
      <w:r w:rsidR="00E974C6">
        <w:t xml:space="preserve"> </w:t>
      </w:r>
      <w:r w:rsidR="002612AF">
        <w:t>sont souvent guidés par d’autres motivations que la seule rationalité</w:t>
      </w:r>
      <w:r>
        <w:t>. I</w:t>
      </w:r>
      <w:r w:rsidR="002612AF">
        <w:t>l s’agit là d’un problème « socio-écologique » particulièrement difficile à intégrer.</w:t>
      </w:r>
    </w:p>
    <w:p w14:paraId="7424E0B6" w14:textId="5F88CE3D" w:rsidR="005A1B2C" w:rsidRDefault="00DF17FA" w:rsidP="00DF17FA">
      <w:pPr>
        <w:pStyle w:val="Titre1"/>
      </w:pPr>
      <w:r>
        <w:lastRenderedPageBreak/>
        <w:t>4</w:t>
      </w:r>
      <w:r w:rsidR="005A1B2C">
        <w:t xml:space="preserve"> – </w:t>
      </w:r>
      <w:r w:rsidR="00070D08">
        <w:t>Sobriété d’usage (a</w:t>
      </w:r>
      <w:r w:rsidR="005A1B2C">
        <w:t>ppareils en veille, appareils connectés</w:t>
      </w:r>
      <w:r w:rsidR="00070D08">
        <w:t>, …)</w:t>
      </w:r>
    </w:p>
    <w:p w14:paraId="45CD9AA1" w14:textId="77777777" w:rsidR="00F468DF" w:rsidRDefault="00AD7B8A" w:rsidP="005A1B2C">
      <w:r>
        <w:t xml:space="preserve">La première mesure de sobriété d’usage consiste à ne pas laisser fonctionner </w:t>
      </w:r>
      <w:r w:rsidR="00560EA9">
        <w:t xml:space="preserve">inutilement </w:t>
      </w:r>
      <w:r>
        <w:t xml:space="preserve">des dispositifs consommateurs d’énergie. Cela concerne bien sûr les appareils électriques </w:t>
      </w:r>
      <w:r w:rsidR="00560EA9">
        <w:t xml:space="preserve">comme les </w:t>
      </w:r>
      <w:r>
        <w:t>éclairages, ordinateurs, ventilations, pompes</w:t>
      </w:r>
      <w:r w:rsidR="00C84952">
        <w:t>, box internet, etc</w:t>
      </w:r>
      <w:r w:rsidR="00560EA9">
        <w:t>.</w:t>
      </w:r>
      <w:r>
        <w:t xml:space="preserve"> mais </w:t>
      </w:r>
      <w:r w:rsidR="00FB6AD1">
        <w:t xml:space="preserve">également </w:t>
      </w:r>
      <w:r w:rsidR="00F468DF">
        <w:t xml:space="preserve">d’autres actions </w:t>
      </w:r>
      <w:r w:rsidR="00560EA9">
        <w:t>courantes. Citons par exemple</w:t>
      </w:r>
      <w:r w:rsidR="00F468DF">
        <w:t> :</w:t>
      </w:r>
    </w:p>
    <w:p w14:paraId="7BB1FDB5" w14:textId="77777777" w:rsidR="00280059" w:rsidRDefault="005704C8" w:rsidP="00CD475D">
      <w:pPr>
        <w:pStyle w:val="Paragraphedeliste"/>
        <w:numPr>
          <w:ilvl w:val="0"/>
          <w:numId w:val="15"/>
        </w:numPr>
        <w:spacing w:before="120"/>
        <w:ind w:left="714" w:hanging="357"/>
      </w:pPr>
      <w:r>
        <w:t xml:space="preserve">Couper </w:t>
      </w:r>
      <w:r w:rsidR="00AD7B8A">
        <w:t>le chauffage ou baisser fortement la consigne de température en cas d’</w:t>
      </w:r>
      <w:r w:rsidR="00F468DF">
        <w:t>absence ;</w:t>
      </w:r>
    </w:p>
    <w:p w14:paraId="765F062E" w14:textId="77777777" w:rsidR="00280059" w:rsidRDefault="005704C8" w:rsidP="00CD475D">
      <w:pPr>
        <w:pStyle w:val="Paragraphedeliste"/>
        <w:numPr>
          <w:ilvl w:val="0"/>
          <w:numId w:val="15"/>
        </w:numPr>
      </w:pPr>
      <w:r>
        <w:t xml:space="preserve">Mettre </w:t>
      </w:r>
      <w:r w:rsidR="00F468DF">
        <w:t>un couvercle sur un ustensile de cuisson ;</w:t>
      </w:r>
    </w:p>
    <w:p w14:paraId="367D159D" w14:textId="77777777" w:rsidR="00280059" w:rsidRDefault="00560EA9" w:rsidP="00CD475D">
      <w:pPr>
        <w:pStyle w:val="Paragraphedeliste"/>
        <w:numPr>
          <w:ilvl w:val="0"/>
          <w:numId w:val="15"/>
        </w:numPr>
      </w:pPr>
      <w:r>
        <w:t>Privilégier les déplacements à pied pour des trajets courts</w:t>
      </w:r>
      <w:r w:rsidR="00F468DF">
        <w:t> ;</w:t>
      </w:r>
    </w:p>
    <w:p w14:paraId="77B2E819" w14:textId="77777777" w:rsidR="00280059" w:rsidRDefault="005704C8" w:rsidP="00CD475D">
      <w:pPr>
        <w:pStyle w:val="Paragraphedeliste"/>
        <w:numPr>
          <w:ilvl w:val="0"/>
          <w:numId w:val="15"/>
        </w:numPr>
      </w:pPr>
      <w:r>
        <w:t>É</w:t>
      </w:r>
      <w:r w:rsidR="00F468DF">
        <w:t>coconduire son véhicule</w:t>
      </w:r>
      <w:r w:rsidR="0027739D">
        <w:t xml:space="preserve"> qui permet des </w:t>
      </w:r>
      <w:r w:rsidR="00F468DF">
        <w:t>gains de consommation significatifs, quasiment aussi élevés qu’une hybridation électrique</w:t>
      </w:r>
      <w:r>
        <w:t xml:space="preserve">, </w:t>
      </w:r>
      <w:r w:rsidR="0027739D">
        <w:t>et une</w:t>
      </w:r>
      <w:r w:rsidR="00F468DF">
        <w:t xml:space="preserve"> diminu</w:t>
      </w:r>
      <w:r w:rsidR="0027739D">
        <w:t>tion</w:t>
      </w:r>
      <w:r w:rsidR="00F468DF">
        <w:t xml:space="preserve"> </w:t>
      </w:r>
      <w:r w:rsidR="0027739D">
        <w:t>des</w:t>
      </w:r>
      <w:r w:rsidR="00F468DF">
        <w:t xml:space="preserve"> émissions toxiques locales, en particulier celles de particules fines (incluant </w:t>
      </w:r>
      <w:r>
        <w:t xml:space="preserve">l’abrasion des freins et pneus) </w:t>
      </w:r>
      <w:r w:rsidR="00F468DF">
        <w:t>;</w:t>
      </w:r>
    </w:p>
    <w:p w14:paraId="257EEC89" w14:textId="77777777" w:rsidR="00280059" w:rsidRDefault="005704C8" w:rsidP="00CD475D">
      <w:pPr>
        <w:pStyle w:val="Paragraphedeliste"/>
        <w:numPr>
          <w:ilvl w:val="0"/>
          <w:numId w:val="15"/>
        </w:numPr>
      </w:pPr>
      <w:r>
        <w:t>Etc</w:t>
      </w:r>
      <w:r w:rsidR="00236BC0">
        <w:t>.</w:t>
      </w:r>
    </w:p>
    <w:p w14:paraId="11451B84" w14:textId="77777777" w:rsidR="00AD7B8A" w:rsidRDefault="00332718" w:rsidP="005A1B2C">
      <w:r>
        <w:t>I</w:t>
      </w:r>
      <w:r w:rsidR="00AD7B8A">
        <w:t>l existe d</w:t>
      </w:r>
      <w:r>
        <w:t>’autres</w:t>
      </w:r>
      <w:r w:rsidR="00AD7B8A">
        <w:t xml:space="preserve"> consommations </w:t>
      </w:r>
      <w:r>
        <w:t>plus discrètes</w:t>
      </w:r>
      <w:r w:rsidR="00AD7B8A">
        <w:t>, dites de veille, qui peuvent prendre des proportions élevées.</w:t>
      </w:r>
      <w:r w:rsidR="00C84952">
        <w:t xml:space="preserve"> </w:t>
      </w:r>
      <w:r w:rsidR="00562176">
        <w:t>L</w:t>
      </w:r>
      <w:r w:rsidR="00C84952">
        <w:t xml:space="preserve">es consommations de veilles les plus connues et auxquelles on prête plus fréquemment attention, concernent les appareils électriques, d’autant plus qu’un nombre de plus en plus élevé d’entre eux sont en attente permanente d’une sollicitation à distance. </w:t>
      </w:r>
    </w:p>
    <w:p w14:paraId="233D3EF8" w14:textId="77777777" w:rsidR="006F062B" w:rsidRDefault="005A1B2C" w:rsidP="005A1B2C">
      <w:r>
        <w:t xml:space="preserve">Les appareils en veille consomment de l’énergie électrique, même s’il s’agit de faibles puissances, le temps de veille souvent très long génère des consommations </w:t>
      </w:r>
      <w:r w:rsidR="00C84952">
        <w:t>non négligeables</w:t>
      </w:r>
      <w:r>
        <w:t xml:space="preserve">. </w:t>
      </w:r>
      <w:r w:rsidR="00C84952">
        <w:t>Bien que l</w:t>
      </w:r>
      <w:r w:rsidR="006F062B">
        <w:t xml:space="preserve">es consommations de veille de la plupart des appareils électroniques </w:t>
      </w:r>
      <w:r w:rsidR="00C84952">
        <w:t xml:space="preserve">aient </w:t>
      </w:r>
      <w:r w:rsidR="006F062B">
        <w:t>fait l’objet de normes</w:t>
      </w:r>
      <w:r w:rsidR="00C84952">
        <w:t>,</w:t>
      </w:r>
      <w:r w:rsidR="006F062B">
        <w:t xml:space="preserve"> qui ont permis de considérablement les diminuer, </w:t>
      </w:r>
      <w:r w:rsidR="00C84952">
        <w:t xml:space="preserve">généralement </w:t>
      </w:r>
      <w:r w:rsidR="006F062B">
        <w:t>bien en-dessous d’1 W</w:t>
      </w:r>
      <w:r w:rsidR="00C84952">
        <w:t>, i</w:t>
      </w:r>
      <w:r w:rsidR="006F062B">
        <w:t>l  est toujours utile de couper physiquement ces appareils lorsqu’ils ne sont pas utilisés.</w:t>
      </w:r>
      <w:r w:rsidR="00C84952">
        <w:t xml:space="preserve"> Cela présente parallèlement l’avantage de réduire un risque de vieillissement accéléré due au maintien sous tension permanent.</w:t>
      </w:r>
    </w:p>
    <w:p w14:paraId="7FA5636B" w14:textId="77777777" w:rsidR="005A1B2C" w:rsidRDefault="005A1B2C" w:rsidP="005A1B2C">
      <w:r>
        <w:t xml:space="preserve">Une étude effectuée en 2017 en Suisse (figure </w:t>
      </w:r>
      <w:r w:rsidR="00D03925">
        <w:t>5</w:t>
      </w:r>
      <w:r>
        <w:t>), montre quelques exemples et ordre</w:t>
      </w:r>
      <w:r w:rsidR="005D2E6C">
        <w:t>s</w:t>
      </w:r>
      <w:r>
        <w:t xml:space="preserve"> de grandeur de consommation </w:t>
      </w:r>
      <w:r w:rsidR="00D03925">
        <w:t>en fonctionnement et en veille.</w:t>
      </w:r>
      <w:r w:rsidR="00C84952">
        <w:t xml:space="preserve"> Bien sûr, ces ordres de grandeurs et les proportions veille/fonctionnement normal sont totalement dépendants des durées d’usage de chacun des appareils considérés.</w:t>
      </w:r>
    </w:p>
    <w:p w14:paraId="06E3E9F9" w14:textId="77777777" w:rsidR="005A1B2C" w:rsidRDefault="005A1B2C" w:rsidP="005A1B2C">
      <w:pPr>
        <w:pStyle w:val="Sansinterligne"/>
      </w:pPr>
      <w:r w:rsidRPr="006D382F">
        <w:rPr>
          <w:noProof/>
          <w:lang w:eastAsia="fr-FR"/>
        </w:rPr>
        <w:drawing>
          <wp:inline distT="0" distB="0" distL="0" distR="0" wp14:anchorId="499C2497" wp14:editId="3CF07EAB">
            <wp:extent cx="5090929" cy="308942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105821" cy="3098466"/>
                    </a:xfrm>
                    <a:prstGeom prst="rect">
                      <a:avLst/>
                    </a:prstGeom>
                  </pic:spPr>
                </pic:pic>
              </a:graphicData>
            </a:graphic>
          </wp:inline>
        </w:drawing>
      </w:r>
    </w:p>
    <w:p w14:paraId="7093B0B9" w14:textId="77777777" w:rsidR="005A1B2C" w:rsidRDefault="005A1B2C" w:rsidP="005A1B2C">
      <w:pPr>
        <w:pStyle w:val="Lgende"/>
      </w:pPr>
      <w:r>
        <w:t xml:space="preserve">Figure </w:t>
      </w:r>
      <w:r w:rsidR="009E14BA">
        <w:rPr>
          <w:noProof/>
        </w:rPr>
        <w:fldChar w:fldCharType="begin"/>
      </w:r>
      <w:r>
        <w:rPr>
          <w:noProof/>
        </w:rPr>
        <w:instrText xml:space="preserve"> SEQ Figure \* ARABIC </w:instrText>
      </w:r>
      <w:r w:rsidR="009E14BA">
        <w:rPr>
          <w:noProof/>
        </w:rPr>
        <w:fldChar w:fldCharType="separate"/>
      </w:r>
      <w:r w:rsidR="00C64908">
        <w:rPr>
          <w:noProof/>
        </w:rPr>
        <w:t>7</w:t>
      </w:r>
      <w:r w:rsidR="009E14BA">
        <w:rPr>
          <w:noProof/>
        </w:rPr>
        <w:fldChar w:fldCharType="end"/>
      </w:r>
      <w:r>
        <w:t> : Consommation d’électricité annuelle de</w:t>
      </w:r>
      <w:r w:rsidR="00C84952">
        <w:t xml:space="preserve"> quelque</w:t>
      </w:r>
      <w:r>
        <w:t>s appareils en kWh, en fonctionnement et en veille, source [</w:t>
      </w:r>
      <w:r w:rsidR="00F1621B">
        <w:t>12</w:t>
      </w:r>
      <w:r>
        <w:t>]</w:t>
      </w:r>
    </w:p>
    <w:p w14:paraId="6CEF9D0B" w14:textId="77777777" w:rsidR="007E35B3" w:rsidRDefault="00D03925" w:rsidP="004E1FA3">
      <w:r>
        <w:lastRenderedPageBreak/>
        <w:t xml:space="preserve">En moyenne ce sont 15 à 20 équipements par </w:t>
      </w:r>
      <w:r w:rsidR="00562176">
        <w:t xml:space="preserve">foyer </w:t>
      </w:r>
      <w:r>
        <w:t xml:space="preserve">qui sont </w:t>
      </w:r>
      <w:r w:rsidR="007E35B3">
        <w:t xml:space="preserve">continuellement </w:t>
      </w:r>
      <w:r>
        <w:t>en veille, la puissan</w:t>
      </w:r>
      <w:r w:rsidR="007E35B3">
        <w:t xml:space="preserve">ce totale dépasse souvent 50 W. </w:t>
      </w:r>
      <w:r w:rsidR="007E35B3" w:rsidRPr="007E35B3">
        <w:t xml:space="preserve">Dès lors que ces équipements restent branchés, même non utilisés, ils </w:t>
      </w:r>
      <w:r w:rsidR="007E35B3" w:rsidRPr="007E35B3">
        <w:rPr>
          <w:rStyle w:val="lev"/>
          <w:b w:val="0"/>
        </w:rPr>
        <w:t>continuent à consommer de l’énergie</w:t>
      </w:r>
      <w:r w:rsidR="007E35B3" w:rsidRPr="002B5B31">
        <w:t>.</w:t>
      </w:r>
      <w:r w:rsidR="002B5B31" w:rsidRPr="002B5B31">
        <w:t xml:space="preserve"> P</w:t>
      </w:r>
      <w:r w:rsidR="007E35B3">
        <w:t xml:space="preserve">armi les plus énergivores, la </w:t>
      </w:r>
      <w:r w:rsidR="007E35B3" w:rsidRPr="002B5B31">
        <w:t>télévision</w:t>
      </w:r>
      <w:r w:rsidR="007E35B3">
        <w:t>, qui reste en alerte afin de capter tout nouveau signa</w:t>
      </w:r>
      <w:r w:rsidR="004E1FA3">
        <w:t xml:space="preserve">l provenant de la télécommande, </w:t>
      </w:r>
      <w:r w:rsidR="007E35B3">
        <w:t xml:space="preserve">les </w:t>
      </w:r>
      <w:r w:rsidR="007E35B3" w:rsidRPr="004E1FA3">
        <w:t>fours et les micro-ondes</w:t>
      </w:r>
      <w:r w:rsidR="004E1FA3">
        <w:t xml:space="preserve"> qui </w:t>
      </w:r>
      <w:r w:rsidR="007E35B3">
        <w:t xml:space="preserve">restent en mode veille afin d’afficher </w:t>
      </w:r>
      <w:r w:rsidR="004E1FA3">
        <w:t>l’heure, ou</w:t>
      </w:r>
      <w:r w:rsidR="007E35B3">
        <w:t xml:space="preserve"> les </w:t>
      </w:r>
      <w:r w:rsidR="00A1146E">
        <w:t>équipements connectés</w:t>
      </w:r>
      <w:r w:rsidR="007E35B3">
        <w:t xml:space="preserve"> tels que les imprimantes Wi-Fi</w:t>
      </w:r>
      <w:r w:rsidR="002B5B31">
        <w:t xml:space="preserve"> [</w:t>
      </w:r>
      <w:r w:rsidR="006A73EA">
        <w:t>13</w:t>
      </w:r>
      <w:r w:rsidR="002B5B31">
        <w:t>]</w:t>
      </w:r>
      <w:r w:rsidR="007E35B3">
        <w:t>.</w:t>
      </w:r>
      <w:r w:rsidR="0033227E">
        <w:t xml:space="preserve"> </w:t>
      </w:r>
      <w:r w:rsidR="0077393C">
        <w:t>C</w:t>
      </w:r>
      <w:r w:rsidR="0033227E">
        <w:t xml:space="preserve">es consommations pourraient, </w:t>
      </w:r>
      <w:r w:rsidR="00562176">
        <w:t xml:space="preserve"> </w:t>
      </w:r>
      <w:r w:rsidR="0077393C">
        <w:t>avec</w:t>
      </w:r>
      <w:r w:rsidR="0033227E">
        <w:t xml:space="preserve"> très peu d’intelligence supplémentaire au moment de la conception, être réduites drastiquement.</w:t>
      </w:r>
    </w:p>
    <w:p w14:paraId="3F68A84E" w14:textId="77777777" w:rsidR="004E1FA3" w:rsidRDefault="004E1FA3" w:rsidP="004E1FA3">
      <w:r>
        <w:t>L’une des consommations de veille qui reste importante et méconnue est celle des chauffe-eau électriques, elle apparait parfois dans les notices sous l’appellation de « consommation d’entretien » et correspond aux déperditions thermiques dues à l’isolation de l’appareil. Les valeurs de ces consommations dépendent partiellement de la capacité des chauffe-eau et sont de l’ordre de 1 à 3 kWh par jour</w:t>
      </w:r>
      <w:r w:rsidR="00143FB9">
        <w:t xml:space="preserve"> pour les appareils domestiques</w:t>
      </w:r>
      <w:r>
        <w:t xml:space="preserve">, ce qui dépasse de très loin toutes les consommations de veille des appareils électroniques. Un progrès récent, outre une isolation thermique renforcée, concerne l’optimisation (intelligente) du remplissage du « ballon » d’eau chaude en fonction des usages. En effet, la plupart des ballons sont dimensionnés pour les besoins de pointe et conduisent à stocker une quantité d’eau chaude très supérieure au besoin quotidien, ce qui a pour effet d’accroître les </w:t>
      </w:r>
      <w:r w:rsidR="006227ED">
        <w:t xml:space="preserve">déperditions </w:t>
      </w:r>
      <w:r w:rsidR="0077393C">
        <w:t xml:space="preserve">par </w:t>
      </w:r>
      <w:r w:rsidR="006227ED">
        <w:t>une plus grande surface d’échange avec l’environnement</w:t>
      </w:r>
      <w:r>
        <w:t>.</w:t>
      </w:r>
    </w:p>
    <w:p w14:paraId="2D0D952C" w14:textId="77777777" w:rsidR="004E1FA3" w:rsidRDefault="006A73EA" w:rsidP="005D6F52">
      <w:r>
        <w:t>Les</w:t>
      </w:r>
      <w:r w:rsidR="0030782C">
        <w:t> </w:t>
      </w:r>
      <w:r w:rsidR="004E1FA3">
        <w:t>appareils connectés</w:t>
      </w:r>
      <w:r w:rsidR="006227ED">
        <w:t xml:space="preserve"> (entre eux ou à internet), actuellement en forte progression, </w:t>
      </w:r>
      <w:r w:rsidR="004E1FA3">
        <w:t>consomment souvent moins que les équipements électroménagers</w:t>
      </w:r>
      <w:r w:rsidR="00562176">
        <w:t>.</w:t>
      </w:r>
      <w:r>
        <w:t xml:space="preserve"> </w:t>
      </w:r>
      <w:r w:rsidR="00562176">
        <w:t xml:space="preserve">Cependant </w:t>
      </w:r>
      <w:r w:rsidR="004E1FA3">
        <w:t xml:space="preserve">leur multiplication, le taux d’équipement domestique, les services des appareils mobiles </w:t>
      </w:r>
      <w:r w:rsidR="006227ED">
        <w:t xml:space="preserve">fonctionnant </w:t>
      </w:r>
      <w:r w:rsidR="004E1FA3">
        <w:t>en permanence</w:t>
      </w:r>
      <w:r w:rsidR="006227ED">
        <w:t xml:space="preserve"> </w:t>
      </w:r>
      <w:r w:rsidR="004E1FA3">
        <w:t>en vidant le</w:t>
      </w:r>
      <w:r w:rsidR="006227ED">
        <w:t>ur</w:t>
      </w:r>
      <w:r w:rsidR="004E1FA3">
        <w:t xml:space="preserve">s batteries, entraînent </w:t>
      </w:r>
      <w:r w:rsidR="006227ED">
        <w:t xml:space="preserve">un surcroît de </w:t>
      </w:r>
      <w:r w:rsidR="004E1FA3">
        <w:t>consommation d’énergie électrique.</w:t>
      </w:r>
      <w:r w:rsidR="006227ED">
        <w:t xml:space="preserve"> </w:t>
      </w:r>
      <w:r w:rsidR="00267904">
        <w:t>L</w:t>
      </w:r>
      <w:r w:rsidR="006227ED">
        <w:t>es appareils connectés et les terminaux associés</w:t>
      </w:r>
      <w:r w:rsidR="00267904">
        <w:t xml:space="preserve"> </w:t>
      </w:r>
      <w:r w:rsidR="006227ED">
        <w:t xml:space="preserve">représentent la partie émergée d’un immense iceberg que sont les </w:t>
      </w:r>
      <w:proofErr w:type="spellStart"/>
      <w:r w:rsidR="006227ED">
        <w:t>datacenters</w:t>
      </w:r>
      <w:proofErr w:type="spellEnd"/>
      <w:r w:rsidR="006227ED">
        <w:t xml:space="preserve"> et les infrastructures réseaux nécessaires pour assurer leur fonctionnement</w:t>
      </w:r>
      <w:r w:rsidR="002A5109">
        <w:t xml:space="preserve"> </w:t>
      </w:r>
      <w:r w:rsidR="002A12FE">
        <w:t>[</w:t>
      </w:r>
      <w:r w:rsidR="00267904">
        <w:t>15</w:t>
      </w:r>
      <w:r w:rsidR="002A12FE">
        <w:t>]</w:t>
      </w:r>
      <w:r w:rsidR="006227ED">
        <w:t>.</w:t>
      </w:r>
    </w:p>
    <w:p w14:paraId="7D2094D8" w14:textId="77777777" w:rsidR="004E1FA3" w:rsidRDefault="00A1146E" w:rsidP="004E1FA3">
      <w:pPr>
        <w:pStyle w:val="Sansinterligne"/>
      </w:pPr>
      <w:r>
        <w:rPr>
          <w:noProof/>
          <w:lang w:eastAsia="fr-FR"/>
        </w:rPr>
        <w:drawing>
          <wp:inline distT="0" distB="0" distL="0" distR="0" wp14:anchorId="2764AA95" wp14:editId="1A31B7E1">
            <wp:extent cx="5050004" cy="358657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ux d’équipement des ménages en bien électronique.png"/>
                    <pic:cNvPicPr/>
                  </pic:nvPicPr>
                  <pic:blipFill>
                    <a:blip r:embed="rId19">
                      <a:extLst>
                        <a:ext uri="{28A0092B-C50C-407E-A947-70E740481C1C}">
                          <a14:useLocalDpi xmlns:a14="http://schemas.microsoft.com/office/drawing/2010/main" val="0"/>
                        </a:ext>
                      </a:extLst>
                    </a:blip>
                    <a:stretch>
                      <a:fillRect/>
                    </a:stretch>
                  </pic:blipFill>
                  <pic:spPr>
                    <a:xfrm>
                      <a:off x="0" y="0"/>
                      <a:ext cx="5058659" cy="3592726"/>
                    </a:xfrm>
                    <a:prstGeom prst="rect">
                      <a:avLst/>
                    </a:prstGeom>
                  </pic:spPr>
                </pic:pic>
              </a:graphicData>
            </a:graphic>
          </wp:inline>
        </w:drawing>
      </w:r>
    </w:p>
    <w:p w14:paraId="65FB16D5" w14:textId="77777777" w:rsidR="002B5B31" w:rsidRDefault="002B5B31" w:rsidP="005D6F52">
      <w:pPr>
        <w:pStyle w:val="Lgende"/>
        <w:spacing w:before="120"/>
      </w:pPr>
      <w:r>
        <w:t xml:space="preserve">Figure </w:t>
      </w:r>
      <w:r w:rsidR="009E14BA">
        <w:rPr>
          <w:noProof/>
        </w:rPr>
        <w:fldChar w:fldCharType="begin"/>
      </w:r>
      <w:r w:rsidR="00F473E7">
        <w:rPr>
          <w:noProof/>
        </w:rPr>
        <w:instrText xml:space="preserve"> SEQ Figure \* ARABIC </w:instrText>
      </w:r>
      <w:r w:rsidR="009E14BA">
        <w:rPr>
          <w:noProof/>
        </w:rPr>
        <w:fldChar w:fldCharType="separate"/>
      </w:r>
      <w:r w:rsidR="00C64908">
        <w:rPr>
          <w:noProof/>
        </w:rPr>
        <w:t>8</w:t>
      </w:r>
      <w:r w:rsidR="009E14BA">
        <w:rPr>
          <w:noProof/>
        </w:rPr>
        <w:fldChar w:fldCharType="end"/>
      </w:r>
      <w:r>
        <w:t> : Taux d’équipement des ménages en bien électronique, source [</w:t>
      </w:r>
      <w:r w:rsidR="00267904">
        <w:t>15</w:t>
      </w:r>
      <w:r>
        <w:t>]</w:t>
      </w:r>
    </w:p>
    <w:p w14:paraId="6CA7C6AA" w14:textId="77777777" w:rsidR="004E1FA3" w:rsidRDefault="004E1FA3" w:rsidP="00896DB8">
      <w:pPr>
        <w:pStyle w:val="Lgende"/>
        <w:spacing w:before="0"/>
      </w:pPr>
      <w:r>
        <w:t>« Ordinateur portable » comprend aussi le netbook et l’ultraportable</w:t>
      </w:r>
    </w:p>
    <w:p w14:paraId="7B7D4710" w14:textId="77777777" w:rsidR="00896DB8" w:rsidRDefault="00A1146E" w:rsidP="00A1146E">
      <w:pPr>
        <w:pStyle w:val="Sansinterligne"/>
        <w:spacing w:before="360"/>
      </w:pPr>
      <w:r>
        <w:rPr>
          <w:noProof/>
          <w:lang w:eastAsia="fr-FR"/>
        </w:rPr>
        <w:lastRenderedPageBreak/>
        <w:drawing>
          <wp:inline distT="0" distB="0" distL="0" distR="0" wp14:anchorId="421F3233" wp14:editId="41D5B88D">
            <wp:extent cx="4658555" cy="3297581"/>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aux d’équipement des ménages en connexion à Internet selon l’âge de la personne de référence.png"/>
                    <pic:cNvPicPr/>
                  </pic:nvPicPr>
                  <pic:blipFill>
                    <a:blip r:embed="rId20">
                      <a:extLst>
                        <a:ext uri="{28A0092B-C50C-407E-A947-70E740481C1C}">
                          <a14:useLocalDpi xmlns:a14="http://schemas.microsoft.com/office/drawing/2010/main" val="0"/>
                        </a:ext>
                      </a:extLst>
                    </a:blip>
                    <a:stretch>
                      <a:fillRect/>
                    </a:stretch>
                  </pic:blipFill>
                  <pic:spPr>
                    <a:xfrm>
                      <a:off x="0" y="0"/>
                      <a:ext cx="4665399" cy="3302426"/>
                    </a:xfrm>
                    <a:prstGeom prst="rect">
                      <a:avLst/>
                    </a:prstGeom>
                  </pic:spPr>
                </pic:pic>
              </a:graphicData>
            </a:graphic>
          </wp:inline>
        </w:drawing>
      </w:r>
    </w:p>
    <w:p w14:paraId="101C32D1" w14:textId="77777777" w:rsidR="00896DB8" w:rsidRPr="00896DB8" w:rsidRDefault="00896DB8" w:rsidP="00896DB8">
      <w:pPr>
        <w:pStyle w:val="Lgende"/>
      </w:pPr>
      <w:r>
        <w:t xml:space="preserve">Figure </w:t>
      </w:r>
      <w:r w:rsidR="009E14BA">
        <w:rPr>
          <w:noProof/>
        </w:rPr>
        <w:fldChar w:fldCharType="begin"/>
      </w:r>
      <w:r w:rsidR="00F473E7">
        <w:rPr>
          <w:noProof/>
        </w:rPr>
        <w:instrText xml:space="preserve"> SEQ Figure \* ARABIC </w:instrText>
      </w:r>
      <w:r w:rsidR="009E14BA">
        <w:rPr>
          <w:noProof/>
        </w:rPr>
        <w:fldChar w:fldCharType="separate"/>
      </w:r>
      <w:r w:rsidR="00C64908">
        <w:rPr>
          <w:noProof/>
        </w:rPr>
        <w:t>9</w:t>
      </w:r>
      <w:r w:rsidR="009E14BA">
        <w:rPr>
          <w:noProof/>
        </w:rPr>
        <w:fldChar w:fldCharType="end"/>
      </w:r>
      <w:r>
        <w:t> : Taux d’équipement des ménages en connexion à Internet selon l’âge de la personne de référence, source [</w:t>
      </w:r>
      <w:r w:rsidR="00267904">
        <w:t>15</w:t>
      </w:r>
      <w:r>
        <w:t>]</w:t>
      </w:r>
    </w:p>
    <w:p w14:paraId="24D63519" w14:textId="77777777" w:rsidR="004E1FA3" w:rsidRDefault="004E1FA3" w:rsidP="004E1FA3">
      <w:r>
        <w:t xml:space="preserve">Sans position veille, les petits équipements électroménagers ou les consoles de jeux, lecteurs DVD, décodeurs TV ou encore les lampes avec variateurs sont tous dotés d’un </w:t>
      </w:r>
      <w:r w:rsidR="00234B9F">
        <w:rPr>
          <w:rStyle w:val="lev"/>
          <w:rFonts w:eastAsiaTheme="majorEastAsia"/>
          <w:b w:val="0"/>
        </w:rPr>
        <w:t xml:space="preserve">adaptateur </w:t>
      </w:r>
      <w:r w:rsidR="00D11DBE">
        <w:rPr>
          <w:rStyle w:val="lev"/>
          <w:rFonts w:eastAsiaTheme="majorEastAsia"/>
          <w:b w:val="0"/>
        </w:rPr>
        <w:t xml:space="preserve">secteur </w:t>
      </w:r>
      <w:r w:rsidR="00234B9F">
        <w:rPr>
          <w:rStyle w:val="lev"/>
          <w:rFonts w:eastAsiaTheme="majorEastAsia"/>
          <w:b w:val="0"/>
        </w:rPr>
        <w:t>(parfois appelé improprement transformateur</w:t>
      </w:r>
      <w:r w:rsidR="00D11DBE">
        <w:rPr>
          <w:rStyle w:val="lev"/>
          <w:rFonts w:eastAsiaTheme="majorEastAsia"/>
          <w:b w:val="0"/>
        </w:rPr>
        <w:t xml:space="preserve">, </w:t>
      </w:r>
      <w:r w:rsidR="00267904">
        <w:rPr>
          <w:rStyle w:val="lev"/>
          <w:rFonts w:eastAsiaTheme="majorEastAsia"/>
          <w:b w:val="0"/>
        </w:rPr>
        <w:t>un</w:t>
      </w:r>
      <w:r w:rsidR="00D11DBE">
        <w:rPr>
          <w:rStyle w:val="lev"/>
          <w:rFonts w:eastAsiaTheme="majorEastAsia"/>
          <w:b w:val="0"/>
        </w:rPr>
        <w:t xml:space="preserve"> chargeur sert à recharger la batterie d’un appareil mobile</w:t>
      </w:r>
      <w:r w:rsidR="00234B9F">
        <w:rPr>
          <w:rStyle w:val="lev"/>
          <w:rFonts w:eastAsiaTheme="majorEastAsia"/>
          <w:b w:val="0"/>
        </w:rPr>
        <w:t>)</w:t>
      </w:r>
      <w:r w:rsidR="00234B9F">
        <w:t xml:space="preserve"> </w:t>
      </w:r>
      <w:r>
        <w:t>qui</w:t>
      </w:r>
      <w:r>
        <w:rPr>
          <w:rFonts w:eastAsiaTheme="majorEastAsia"/>
        </w:rPr>
        <w:t xml:space="preserve"> converti</w:t>
      </w:r>
      <w:r w:rsidR="00D11DBE">
        <w:rPr>
          <w:rFonts w:eastAsiaTheme="majorEastAsia"/>
        </w:rPr>
        <w:t>t</w:t>
      </w:r>
      <w:r w:rsidRPr="002B5B31">
        <w:t xml:space="preserve"> le courant alternatif 2</w:t>
      </w:r>
      <w:r w:rsidR="00234B9F">
        <w:t>3</w:t>
      </w:r>
      <w:r w:rsidRPr="002B5B31">
        <w:t>0 </w:t>
      </w:r>
      <w:r>
        <w:rPr>
          <w:rFonts w:eastAsiaTheme="majorEastAsia"/>
        </w:rPr>
        <w:t>V</w:t>
      </w:r>
      <w:r w:rsidRPr="002B5B31">
        <w:t xml:space="preserve"> en courant continu</w:t>
      </w:r>
      <w:r w:rsidR="00234B9F">
        <w:rPr>
          <w:rFonts w:eastAsiaTheme="majorEastAsia"/>
        </w:rPr>
        <w:t xml:space="preserve"> basse tension</w:t>
      </w:r>
      <w:r>
        <w:t xml:space="preserve">. Situé </w:t>
      </w:r>
      <w:r w:rsidR="00D11DBE">
        <w:t xml:space="preserve">en amont de </w:t>
      </w:r>
      <w:r>
        <w:t xml:space="preserve">l’interrupteur, une fois branché, il </w:t>
      </w:r>
      <w:r w:rsidR="00234B9F">
        <w:t>conduit à la consommation</w:t>
      </w:r>
      <w:r>
        <w:t xml:space="preserve"> d’un courant résiduel </w:t>
      </w:r>
      <w:r w:rsidR="00D11DBE">
        <w:t>même s’il ne délivre pas de puissance à l’appareil qu’il alimente</w:t>
      </w:r>
      <w:r>
        <w:t>.</w:t>
      </w:r>
    </w:p>
    <w:p w14:paraId="48BFCA43" w14:textId="77777777" w:rsidR="005A1B2C" w:rsidRDefault="00234B9F" w:rsidP="005A1B2C">
      <w:r>
        <w:t xml:space="preserve">Certains </w:t>
      </w:r>
      <w:r w:rsidR="005A1B2C">
        <w:t>petits appareils sur chargeurs peuvent consommer plus hors fonctionnement qu’en usage ; prenons l’exemple d’une brosse à dents électriques qui utilise environ 0,47 kWh/an pour le brossage effectif des dents, laissé branchée, la consommation flambe à 7,8 kWh/an : 16 fois plus !</w:t>
      </w:r>
    </w:p>
    <w:tbl>
      <w:tblPr>
        <w:tblStyle w:val="Grilledutableau"/>
        <w:tblW w:w="0" w:type="auto"/>
        <w:tblInd w:w="137" w:type="dxa"/>
        <w:tblLook w:val="04A0" w:firstRow="1" w:lastRow="0" w:firstColumn="1" w:lastColumn="0" w:noHBand="0" w:noVBand="1"/>
      </w:tblPr>
      <w:tblGrid>
        <w:gridCol w:w="3397"/>
        <w:gridCol w:w="1560"/>
        <w:gridCol w:w="2144"/>
        <w:gridCol w:w="2250"/>
      </w:tblGrid>
      <w:tr w:rsidR="005A1B2C" w14:paraId="0BA53142" w14:textId="77777777" w:rsidTr="00335301">
        <w:tc>
          <w:tcPr>
            <w:tcW w:w="3397" w:type="dxa"/>
            <w:shd w:val="clear" w:color="auto" w:fill="D3EAF0" w:themeFill="accent1" w:themeFillTint="33"/>
            <w:vAlign w:val="center"/>
          </w:tcPr>
          <w:p w14:paraId="00BF3F71" w14:textId="77777777" w:rsidR="005A1B2C" w:rsidRDefault="005A1B2C" w:rsidP="0053286A">
            <w:pPr>
              <w:spacing w:before="40" w:after="40"/>
              <w:jc w:val="center"/>
            </w:pPr>
            <w:r>
              <w:t>Appareil</w:t>
            </w:r>
          </w:p>
        </w:tc>
        <w:tc>
          <w:tcPr>
            <w:tcW w:w="1560" w:type="dxa"/>
            <w:shd w:val="clear" w:color="auto" w:fill="D3EAF0" w:themeFill="accent1" w:themeFillTint="33"/>
            <w:vAlign w:val="center"/>
          </w:tcPr>
          <w:p w14:paraId="43F17006" w14:textId="77777777" w:rsidR="005A1B2C" w:rsidRDefault="005A1B2C" w:rsidP="0053286A">
            <w:pPr>
              <w:spacing w:before="40" w:after="40"/>
              <w:jc w:val="center"/>
            </w:pPr>
            <w:r>
              <w:t>Puissance en veille [W]</w:t>
            </w:r>
          </w:p>
        </w:tc>
        <w:tc>
          <w:tcPr>
            <w:tcW w:w="2144" w:type="dxa"/>
            <w:shd w:val="clear" w:color="auto" w:fill="D3EAF0" w:themeFill="accent1" w:themeFillTint="33"/>
            <w:vAlign w:val="center"/>
          </w:tcPr>
          <w:p w14:paraId="206362D6" w14:textId="77777777" w:rsidR="005A1B2C" w:rsidRDefault="005A1B2C" w:rsidP="0053286A">
            <w:pPr>
              <w:spacing w:before="40" w:after="40"/>
              <w:jc w:val="center"/>
            </w:pPr>
            <w:r>
              <w:t>Durée de la veille sur 24 heures [h]</w:t>
            </w:r>
          </w:p>
        </w:tc>
        <w:tc>
          <w:tcPr>
            <w:tcW w:w="2250" w:type="dxa"/>
            <w:shd w:val="clear" w:color="auto" w:fill="D3EAF0" w:themeFill="accent1" w:themeFillTint="33"/>
            <w:vAlign w:val="center"/>
          </w:tcPr>
          <w:p w14:paraId="1FD363B7" w14:textId="77777777" w:rsidR="005A1B2C" w:rsidRDefault="005A1B2C" w:rsidP="0053286A">
            <w:pPr>
              <w:spacing w:before="40" w:after="40"/>
              <w:jc w:val="center"/>
            </w:pPr>
            <w:r>
              <w:t>Consommation en veille [kWh/an]</w:t>
            </w:r>
          </w:p>
        </w:tc>
      </w:tr>
      <w:tr w:rsidR="005A1B2C" w14:paraId="75CCBDED" w14:textId="77777777" w:rsidTr="00335301">
        <w:tc>
          <w:tcPr>
            <w:tcW w:w="3397" w:type="dxa"/>
          </w:tcPr>
          <w:p w14:paraId="5B5F7948" w14:textId="77777777" w:rsidR="005A1B2C" w:rsidRDefault="005A1B2C" w:rsidP="0053286A">
            <w:pPr>
              <w:spacing w:before="40" w:after="40"/>
              <w:jc w:val="center"/>
            </w:pPr>
            <w:r>
              <w:t>Téléviseur LED</w:t>
            </w:r>
          </w:p>
        </w:tc>
        <w:tc>
          <w:tcPr>
            <w:tcW w:w="1560" w:type="dxa"/>
          </w:tcPr>
          <w:p w14:paraId="78BCA3DB" w14:textId="77777777" w:rsidR="005A1B2C" w:rsidRDefault="005A1B2C" w:rsidP="0053286A">
            <w:pPr>
              <w:spacing w:before="40" w:after="40"/>
              <w:jc w:val="center"/>
            </w:pPr>
            <w:r>
              <w:t>0,3</w:t>
            </w:r>
          </w:p>
        </w:tc>
        <w:tc>
          <w:tcPr>
            <w:tcW w:w="2144" w:type="dxa"/>
          </w:tcPr>
          <w:p w14:paraId="77E70D8E" w14:textId="77777777" w:rsidR="005A1B2C" w:rsidRDefault="005A1B2C" w:rsidP="0053286A">
            <w:pPr>
              <w:spacing w:before="40" w:after="40"/>
              <w:jc w:val="center"/>
            </w:pPr>
            <w:r>
              <w:t>20</w:t>
            </w:r>
          </w:p>
        </w:tc>
        <w:tc>
          <w:tcPr>
            <w:tcW w:w="2250" w:type="dxa"/>
          </w:tcPr>
          <w:p w14:paraId="75FFEA4F" w14:textId="77777777" w:rsidR="005A1B2C" w:rsidRDefault="005A1B2C" w:rsidP="0053286A">
            <w:pPr>
              <w:spacing w:before="40" w:after="40"/>
              <w:jc w:val="center"/>
            </w:pPr>
            <w:r>
              <w:t>2</w:t>
            </w:r>
          </w:p>
        </w:tc>
      </w:tr>
      <w:tr w:rsidR="005A1B2C" w14:paraId="296B781D" w14:textId="77777777" w:rsidTr="00335301">
        <w:tc>
          <w:tcPr>
            <w:tcW w:w="3397" w:type="dxa"/>
          </w:tcPr>
          <w:p w14:paraId="4A9F1639" w14:textId="77777777" w:rsidR="005A1B2C" w:rsidRDefault="005A1B2C" w:rsidP="0053286A">
            <w:pPr>
              <w:spacing w:before="40" w:after="40"/>
              <w:jc w:val="center"/>
            </w:pPr>
            <w:r>
              <w:t>Console de jeu</w:t>
            </w:r>
          </w:p>
        </w:tc>
        <w:tc>
          <w:tcPr>
            <w:tcW w:w="1560" w:type="dxa"/>
          </w:tcPr>
          <w:p w14:paraId="54245C8D" w14:textId="77777777" w:rsidR="005A1B2C" w:rsidRDefault="005A1B2C" w:rsidP="0053286A">
            <w:pPr>
              <w:spacing w:before="40" w:after="40"/>
              <w:jc w:val="center"/>
            </w:pPr>
            <w:r>
              <w:t>2,5</w:t>
            </w:r>
          </w:p>
        </w:tc>
        <w:tc>
          <w:tcPr>
            <w:tcW w:w="2144" w:type="dxa"/>
          </w:tcPr>
          <w:p w14:paraId="11FF70E1" w14:textId="77777777" w:rsidR="005A1B2C" w:rsidRDefault="005A1B2C" w:rsidP="0053286A">
            <w:pPr>
              <w:spacing w:before="40" w:after="40"/>
              <w:jc w:val="center"/>
            </w:pPr>
            <w:r>
              <w:t>21</w:t>
            </w:r>
          </w:p>
        </w:tc>
        <w:tc>
          <w:tcPr>
            <w:tcW w:w="2250" w:type="dxa"/>
          </w:tcPr>
          <w:p w14:paraId="0F9A318C" w14:textId="77777777" w:rsidR="005A1B2C" w:rsidRDefault="005A1B2C" w:rsidP="0053286A">
            <w:pPr>
              <w:spacing w:before="40" w:after="40"/>
              <w:jc w:val="center"/>
            </w:pPr>
            <w:r>
              <w:t>20</w:t>
            </w:r>
          </w:p>
        </w:tc>
      </w:tr>
      <w:tr w:rsidR="005A1B2C" w14:paraId="25B70EA6" w14:textId="77777777" w:rsidTr="00335301">
        <w:tc>
          <w:tcPr>
            <w:tcW w:w="3397" w:type="dxa"/>
          </w:tcPr>
          <w:p w14:paraId="1AEBC97A" w14:textId="77777777" w:rsidR="005A1B2C" w:rsidRDefault="005A1B2C" w:rsidP="0053286A">
            <w:pPr>
              <w:spacing w:before="40" w:after="40"/>
              <w:jc w:val="center"/>
            </w:pPr>
            <w:r>
              <w:t>Décodeur</w:t>
            </w:r>
          </w:p>
        </w:tc>
        <w:tc>
          <w:tcPr>
            <w:tcW w:w="1560" w:type="dxa"/>
          </w:tcPr>
          <w:p w14:paraId="629D1819" w14:textId="77777777" w:rsidR="005A1B2C" w:rsidRDefault="005A1B2C" w:rsidP="0053286A">
            <w:pPr>
              <w:spacing w:before="40" w:after="40"/>
              <w:jc w:val="center"/>
            </w:pPr>
            <w:r>
              <w:t>10</w:t>
            </w:r>
          </w:p>
        </w:tc>
        <w:tc>
          <w:tcPr>
            <w:tcW w:w="2144" w:type="dxa"/>
          </w:tcPr>
          <w:p w14:paraId="3FB25B90" w14:textId="77777777" w:rsidR="005A1B2C" w:rsidRDefault="005A1B2C" w:rsidP="0053286A">
            <w:pPr>
              <w:spacing w:before="40" w:after="40"/>
              <w:jc w:val="center"/>
            </w:pPr>
            <w:r>
              <w:t>20</w:t>
            </w:r>
          </w:p>
        </w:tc>
        <w:tc>
          <w:tcPr>
            <w:tcW w:w="2250" w:type="dxa"/>
          </w:tcPr>
          <w:p w14:paraId="386F6D0B" w14:textId="77777777" w:rsidR="005A1B2C" w:rsidRDefault="005A1B2C" w:rsidP="0053286A">
            <w:pPr>
              <w:spacing w:before="40" w:after="40"/>
              <w:jc w:val="center"/>
            </w:pPr>
            <w:r>
              <w:t>73</w:t>
            </w:r>
          </w:p>
        </w:tc>
      </w:tr>
      <w:tr w:rsidR="005A1B2C" w14:paraId="6D81F9BC" w14:textId="77777777" w:rsidTr="00335301">
        <w:tc>
          <w:tcPr>
            <w:tcW w:w="3397" w:type="dxa"/>
          </w:tcPr>
          <w:p w14:paraId="7AB9AD00" w14:textId="77777777" w:rsidR="005A1B2C" w:rsidRDefault="005A1B2C" w:rsidP="0053286A">
            <w:pPr>
              <w:spacing w:before="40" w:after="40"/>
              <w:jc w:val="center"/>
            </w:pPr>
            <w:r>
              <w:t>Lecteur DVD</w:t>
            </w:r>
          </w:p>
        </w:tc>
        <w:tc>
          <w:tcPr>
            <w:tcW w:w="1560" w:type="dxa"/>
          </w:tcPr>
          <w:p w14:paraId="402EC9C4" w14:textId="77777777" w:rsidR="005A1B2C" w:rsidRDefault="005A1B2C" w:rsidP="0053286A">
            <w:pPr>
              <w:spacing w:before="40" w:after="40"/>
              <w:jc w:val="center"/>
            </w:pPr>
            <w:r>
              <w:t>2</w:t>
            </w:r>
          </w:p>
        </w:tc>
        <w:tc>
          <w:tcPr>
            <w:tcW w:w="2144" w:type="dxa"/>
          </w:tcPr>
          <w:p w14:paraId="5DFF4C47" w14:textId="77777777" w:rsidR="005A1B2C" w:rsidRDefault="005A1B2C" w:rsidP="0053286A">
            <w:pPr>
              <w:spacing w:before="40" w:after="40"/>
              <w:jc w:val="center"/>
            </w:pPr>
            <w:r>
              <w:t>22</w:t>
            </w:r>
          </w:p>
        </w:tc>
        <w:tc>
          <w:tcPr>
            <w:tcW w:w="2250" w:type="dxa"/>
          </w:tcPr>
          <w:p w14:paraId="261E2519" w14:textId="77777777" w:rsidR="005A1B2C" w:rsidRDefault="005A1B2C" w:rsidP="0053286A">
            <w:pPr>
              <w:spacing w:before="40" w:after="40"/>
              <w:jc w:val="center"/>
            </w:pPr>
            <w:r>
              <w:t>16</w:t>
            </w:r>
          </w:p>
        </w:tc>
      </w:tr>
      <w:tr w:rsidR="005A1B2C" w14:paraId="58C0A11A" w14:textId="77777777" w:rsidTr="00335301">
        <w:tc>
          <w:tcPr>
            <w:tcW w:w="3397" w:type="dxa"/>
          </w:tcPr>
          <w:p w14:paraId="2E569058" w14:textId="77777777" w:rsidR="005A1B2C" w:rsidRDefault="005A1B2C" w:rsidP="0053286A">
            <w:pPr>
              <w:spacing w:before="40" w:after="40"/>
              <w:jc w:val="center"/>
            </w:pPr>
            <w:r>
              <w:t>Chaîne hi-fi</w:t>
            </w:r>
          </w:p>
        </w:tc>
        <w:tc>
          <w:tcPr>
            <w:tcW w:w="1560" w:type="dxa"/>
          </w:tcPr>
          <w:p w14:paraId="49EC3AF0" w14:textId="77777777" w:rsidR="005A1B2C" w:rsidRDefault="005A1B2C" w:rsidP="0053286A">
            <w:pPr>
              <w:spacing w:before="40" w:after="40"/>
              <w:jc w:val="center"/>
            </w:pPr>
            <w:r>
              <w:t>8</w:t>
            </w:r>
          </w:p>
        </w:tc>
        <w:tc>
          <w:tcPr>
            <w:tcW w:w="2144" w:type="dxa"/>
          </w:tcPr>
          <w:p w14:paraId="069DE128" w14:textId="77777777" w:rsidR="005A1B2C" w:rsidRDefault="005A1B2C" w:rsidP="0053286A">
            <w:pPr>
              <w:spacing w:before="40" w:after="40"/>
              <w:jc w:val="center"/>
            </w:pPr>
            <w:r>
              <w:t>22</w:t>
            </w:r>
          </w:p>
        </w:tc>
        <w:tc>
          <w:tcPr>
            <w:tcW w:w="2250" w:type="dxa"/>
          </w:tcPr>
          <w:p w14:paraId="71D37872" w14:textId="77777777" w:rsidR="005A1B2C" w:rsidRDefault="005A1B2C" w:rsidP="0053286A">
            <w:pPr>
              <w:spacing w:before="40" w:after="40"/>
              <w:jc w:val="center"/>
            </w:pPr>
            <w:r>
              <w:t>64</w:t>
            </w:r>
          </w:p>
        </w:tc>
      </w:tr>
      <w:tr w:rsidR="005A1B2C" w14:paraId="487AC6A1" w14:textId="77777777" w:rsidTr="00335301">
        <w:tc>
          <w:tcPr>
            <w:tcW w:w="3397" w:type="dxa"/>
          </w:tcPr>
          <w:p w14:paraId="70F14DAA" w14:textId="77777777" w:rsidR="005A1B2C" w:rsidRDefault="005A1B2C" w:rsidP="0053286A">
            <w:pPr>
              <w:spacing w:before="40" w:after="40"/>
              <w:jc w:val="center"/>
            </w:pPr>
            <w:r>
              <w:t>Micro-ordinateur fixe + écran</w:t>
            </w:r>
          </w:p>
        </w:tc>
        <w:tc>
          <w:tcPr>
            <w:tcW w:w="1560" w:type="dxa"/>
          </w:tcPr>
          <w:p w14:paraId="743D702F" w14:textId="77777777" w:rsidR="005A1B2C" w:rsidRDefault="005A1B2C" w:rsidP="0053286A">
            <w:pPr>
              <w:spacing w:before="40" w:after="40"/>
              <w:jc w:val="center"/>
            </w:pPr>
            <w:r>
              <w:t>3,5</w:t>
            </w:r>
          </w:p>
        </w:tc>
        <w:tc>
          <w:tcPr>
            <w:tcW w:w="2144" w:type="dxa"/>
          </w:tcPr>
          <w:p w14:paraId="7405BDF9" w14:textId="77777777" w:rsidR="005A1B2C" w:rsidRDefault="005A1B2C" w:rsidP="0053286A">
            <w:pPr>
              <w:spacing w:before="40" w:after="40"/>
              <w:jc w:val="center"/>
            </w:pPr>
            <w:r>
              <w:t>16</w:t>
            </w:r>
          </w:p>
        </w:tc>
        <w:tc>
          <w:tcPr>
            <w:tcW w:w="2250" w:type="dxa"/>
          </w:tcPr>
          <w:p w14:paraId="1B55DFE3" w14:textId="77777777" w:rsidR="005A1B2C" w:rsidRDefault="005A1B2C" w:rsidP="0053286A">
            <w:pPr>
              <w:spacing w:before="40" w:after="40"/>
              <w:jc w:val="center"/>
            </w:pPr>
            <w:r>
              <w:t>20</w:t>
            </w:r>
          </w:p>
        </w:tc>
      </w:tr>
      <w:tr w:rsidR="005A1B2C" w14:paraId="7762C785" w14:textId="77777777" w:rsidTr="00335301">
        <w:tc>
          <w:tcPr>
            <w:tcW w:w="3397" w:type="dxa"/>
          </w:tcPr>
          <w:p w14:paraId="2922ED0D" w14:textId="77777777" w:rsidR="005A1B2C" w:rsidRDefault="005A1B2C" w:rsidP="0053286A">
            <w:pPr>
              <w:spacing w:before="40" w:after="40"/>
              <w:jc w:val="center"/>
            </w:pPr>
            <w:r>
              <w:t>Micro-ordinateur portable</w:t>
            </w:r>
          </w:p>
        </w:tc>
        <w:tc>
          <w:tcPr>
            <w:tcW w:w="1560" w:type="dxa"/>
          </w:tcPr>
          <w:p w14:paraId="3BECC80A" w14:textId="77777777" w:rsidR="005A1B2C" w:rsidRDefault="005A1B2C" w:rsidP="0053286A">
            <w:pPr>
              <w:spacing w:before="40" w:after="40"/>
              <w:jc w:val="center"/>
            </w:pPr>
            <w:r>
              <w:t>0,8</w:t>
            </w:r>
          </w:p>
        </w:tc>
        <w:tc>
          <w:tcPr>
            <w:tcW w:w="2144" w:type="dxa"/>
          </w:tcPr>
          <w:p w14:paraId="05C309F1" w14:textId="77777777" w:rsidR="005A1B2C" w:rsidRDefault="005A1B2C" w:rsidP="0053286A">
            <w:pPr>
              <w:spacing w:before="40" w:after="40"/>
              <w:jc w:val="center"/>
            </w:pPr>
            <w:r>
              <w:t>16</w:t>
            </w:r>
          </w:p>
        </w:tc>
        <w:tc>
          <w:tcPr>
            <w:tcW w:w="2250" w:type="dxa"/>
          </w:tcPr>
          <w:p w14:paraId="26612204" w14:textId="77777777" w:rsidR="005A1B2C" w:rsidRDefault="005A1B2C" w:rsidP="0053286A">
            <w:pPr>
              <w:spacing w:before="40" w:after="40"/>
              <w:jc w:val="center"/>
            </w:pPr>
            <w:r>
              <w:t>5</w:t>
            </w:r>
          </w:p>
        </w:tc>
      </w:tr>
      <w:tr w:rsidR="005A1B2C" w14:paraId="431B47D8" w14:textId="77777777" w:rsidTr="00335301">
        <w:tc>
          <w:tcPr>
            <w:tcW w:w="3397" w:type="dxa"/>
          </w:tcPr>
          <w:p w14:paraId="238D31E1" w14:textId="77777777" w:rsidR="005A1B2C" w:rsidRDefault="005A1B2C" w:rsidP="0053286A">
            <w:pPr>
              <w:spacing w:before="40" w:after="40"/>
              <w:jc w:val="center"/>
            </w:pPr>
            <w:r>
              <w:t>Imprimante jet d’encre</w:t>
            </w:r>
          </w:p>
        </w:tc>
        <w:tc>
          <w:tcPr>
            <w:tcW w:w="1560" w:type="dxa"/>
          </w:tcPr>
          <w:p w14:paraId="7ABF4240" w14:textId="77777777" w:rsidR="005A1B2C" w:rsidRDefault="005A1B2C" w:rsidP="0053286A">
            <w:pPr>
              <w:spacing w:before="40" w:after="40"/>
              <w:jc w:val="center"/>
            </w:pPr>
            <w:r>
              <w:t>1</w:t>
            </w:r>
          </w:p>
        </w:tc>
        <w:tc>
          <w:tcPr>
            <w:tcW w:w="2144" w:type="dxa"/>
          </w:tcPr>
          <w:p w14:paraId="165D9653" w14:textId="77777777" w:rsidR="005A1B2C" w:rsidRDefault="005A1B2C" w:rsidP="0053286A">
            <w:pPr>
              <w:spacing w:before="40" w:after="40"/>
              <w:jc w:val="center"/>
            </w:pPr>
            <w:r>
              <w:t>23</w:t>
            </w:r>
          </w:p>
        </w:tc>
        <w:tc>
          <w:tcPr>
            <w:tcW w:w="2250" w:type="dxa"/>
          </w:tcPr>
          <w:p w14:paraId="1F5CB869" w14:textId="77777777" w:rsidR="005A1B2C" w:rsidRDefault="005A1B2C" w:rsidP="0053286A">
            <w:pPr>
              <w:spacing w:before="40" w:after="40"/>
              <w:jc w:val="center"/>
            </w:pPr>
            <w:r>
              <w:t>8</w:t>
            </w:r>
          </w:p>
        </w:tc>
      </w:tr>
      <w:tr w:rsidR="005A1B2C" w14:paraId="6C7DAFDE" w14:textId="77777777" w:rsidTr="00335301">
        <w:tc>
          <w:tcPr>
            <w:tcW w:w="3397" w:type="dxa"/>
          </w:tcPr>
          <w:p w14:paraId="08A0100D" w14:textId="77777777" w:rsidR="005A1B2C" w:rsidRDefault="005A1B2C" w:rsidP="0053286A">
            <w:pPr>
              <w:spacing w:before="40" w:after="40"/>
              <w:jc w:val="center"/>
            </w:pPr>
            <w:r>
              <w:t>Brosse à dents</w:t>
            </w:r>
          </w:p>
        </w:tc>
        <w:tc>
          <w:tcPr>
            <w:tcW w:w="1560" w:type="dxa"/>
          </w:tcPr>
          <w:p w14:paraId="7F946962" w14:textId="77777777" w:rsidR="005A1B2C" w:rsidRDefault="005A1B2C" w:rsidP="0053286A">
            <w:pPr>
              <w:spacing w:before="40" w:after="40"/>
              <w:jc w:val="center"/>
            </w:pPr>
            <w:r>
              <w:t>1</w:t>
            </w:r>
          </w:p>
        </w:tc>
        <w:tc>
          <w:tcPr>
            <w:tcW w:w="2144" w:type="dxa"/>
          </w:tcPr>
          <w:p w14:paraId="7B9BCA50" w14:textId="77777777" w:rsidR="005A1B2C" w:rsidRDefault="005A1B2C" w:rsidP="0053286A">
            <w:pPr>
              <w:spacing w:before="40" w:after="40"/>
              <w:jc w:val="center"/>
            </w:pPr>
            <w:r>
              <w:t>23</w:t>
            </w:r>
          </w:p>
        </w:tc>
        <w:tc>
          <w:tcPr>
            <w:tcW w:w="2250" w:type="dxa"/>
          </w:tcPr>
          <w:p w14:paraId="22AD46B1" w14:textId="77777777" w:rsidR="005A1B2C" w:rsidRDefault="005A1B2C" w:rsidP="0053286A">
            <w:pPr>
              <w:spacing w:before="40" w:after="40"/>
              <w:jc w:val="center"/>
            </w:pPr>
            <w:r>
              <w:t>7</w:t>
            </w:r>
          </w:p>
        </w:tc>
      </w:tr>
    </w:tbl>
    <w:p w14:paraId="2CD0C100" w14:textId="77777777" w:rsidR="005A1B2C" w:rsidRPr="006D382F" w:rsidRDefault="0022605D" w:rsidP="0022605D">
      <w:pPr>
        <w:pStyle w:val="Lgende"/>
      </w:pPr>
      <w:r>
        <w:t xml:space="preserve">Tableau </w:t>
      </w:r>
      <w:r w:rsidR="009E14BA">
        <w:rPr>
          <w:noProof/>
        </w:rPr>
        <w:fldChar w:fldCharType="begin"/>
      </w:r>
      <w:r w:rsidR="008C2CAA">
        <w:rPr>
          <w:noProof/>
        </w:rPr>
        <w:instrText xml:space="preserve"> SEQ Tableau \* ARABIC </w:instrText>
      </w:r>
      <w:r w:rsidR="009E14BA">
        <w:rPr>
          <w:noProof/>
        </w:rPr>
        <w:fldChar w:fldCharType="separate"/>
      </w:r>
      <w:r w:rsidR="00C64908">
        <w:rPr>
          <w:noProof/>
        </w:rPr>
        <w:t>2</w:t>
      </w:r>
      <w:r w:rsidR="009E14BA">
        <w:rPr>
          <w:noProof/>
        </w:rPr>
        <w:fldChar w:fldCharType="end"/>
      </w:r>
      <w:r w:rsidR="005A1B2C">
        <w:t> : Consommation annuelle d’appareils en veille, source [</w:t>
      </w:r>
      <w:r w:rsidR="00267904">
        <w:t>16</w:t>
      </w:r>
      <w:r w:rsidR="00DF17FA">
        <w:t>]</w:t>
      </w:r>
    </w:p>
    <w:p w14:paraId="5F88DF76" w14:textId="77777777" w:rsidR="00D11DBE" w:rsidRDefault="00267904" w:rsidP="00896DB8">
      <w:r>
        <w:t>Les</w:t>
      </w:r>
      <w:r w:rsidR="00234B9F">
        <w:t xml:space="preserve"> box internet (incluant un modulateur-démodulateur ou modem, un routeur et émetteur wifi et parfois un disque dur et d’autres fonctions) échappent totalement à toute règlementation en matière d’économie d’énergie. </w:t>
      </w:r>
      <w:r w:rsidR="002A12FE">
        <w:t>L</w:t>
      </w:r>
      <w:r w:rsidR="00234B9F">
        <w:t xml:space="preserve">a variabilité des consommations des box, pour un même usage, couvre une très large étendue allant de quelques watts à près de 40 watts (350 kWh pour un fonctionnement 24h/24), ce qui finit par représenter bien plus que la consommation due aux </w:t>
      </w:r>
      <w:r w:rsidR="00234B9F">
        <w:lastRenderedPageBreak/>
        <w:t>systèmes de réfrigération et de congélation d’un foyer moyen</w:t>
      </w:r>
      <w:r>
        <w:t>.</w:t>
      </w:r>
      <w:r w:rsidR="00234B9F">
        <w:t xml:space="preserve"> Et pour </w:t>
      </w:r>
      <w:r>
        <w:t xml:space="preserve">accentuer </w:t>
      </w:r>
      <w:r w:rsidR="00234B9F">
        <w:t xml:space="preserve">la situation, les opérateurs déconseillent de les couper en dehors des heures où elles sont susceptibles d’être utilisées </w:t>
      </w:r>
      <w:r>
        <w:t>afin d’</w:t>
      </w:r>
      <w:r w:rsidR="00234B9F">
        <w:t xml:space="preserve">effectuer des mises à jour à </w:t>
      </w:r>
      <w:r>
        <w:t>tout moment</w:t>
      </w:r>
      <w:r w:rsidR="00234B9F">
        <w:t>.</w:t>
      </w:r>
      <w:r w:rsidR="00951740">
        <w:t xml:space="preserve"> Sous l’effet des cycles d’allumage-extinction, on peut craindre de  réduire leur durée de vie</w:t>
      </w:r>
      <w:r w:rsidR="00D11DBE">
        <w:t>. Pour que ce phénomène soit dominant, il faudrait un nombre de cycles très élevé</w:t>
      </w:r>
      <w:r w:rsidR="00545B7C">
        <w:t xml:space="preserve"> sans commune mesure avec ce qui est requis dans les usages quotidiens.</w:t>
      </w:r>
    </w:p>
    <w:p w14:paraId="20F19021" w14:textId="77777777" w:rsidR="00562176" w:rsidRDefault="00562176" w:rsidP="00562176">
      <w:r>
        <w:t xml:space="preserve">Éteindre, débrancher, utiliser des multiprises à interrupteur </w:t>
      </w:r>
      <w:r w:rsidR="00545B7C">
        <w:t>relève d’une démarche de</w:t>
      </w:r>
      <w:r>
        <w:t xml:space="preserve"> sobriété énergétique</w:t>
      </w:r>
      <w:r w:rsidR="00545B7C">
        <w:t xml:space="preserve"> qui conduit à </w:t>
      </w:r>
      <w:r>
        <w:t xml:space="preserve">des économies et prolonge </w:t>
      </w:r>
      <w:r w:rsidR="00545B7C">
        <w:t>la durée de vie d</w:t>
      </w:r>
      <w:r>
        <w:t>es appareils</w:t>
      </w:r>
      <w:r w:rsidR="00545B7C">
        <w:t xml:space="preserve"> en réduisant leur durée d’exposition à la température </w:t>
      </w:r>
      <w:r w:rsidR="00951740">
        <w:t xml:space="preserve">et </w:t>
      </w:r>
      <w:r w:rsidR="00545B7C">
        <w:t>à la tension électrique, phénomènes influents en termes de vieillissement</w:t>
      </w:r>
      <w:r>
        <w:t>.</w:t>
      </w:r>
    </w:p>
    <w:p w14:paraId="6E3308CB" w14:textId="77777777" w:rsidR="001422FF" w:rsidRDefault="00896DB8" w:rsidP="00896DB8">
      <w:pPr>
        <w:pStyle w:val="Titre1"/>
      </w:pPr>
      <w:r>
        <w:t>5 – Seconde vie ou fin de vie des appareils</w:t>
      </w:r>
    </w:p>
    <w:p w14:paraId="36E5468A" w14:textId="77777777" w:rsidR="00361672" w:rsidRDefault="00A860F6" w:rsidP="00AD47C0">
      <w:pPr>
        <w:spacing w:after="0"/>
        <w:rPr>
          <w:rFonts w:cs="CMR10"/>
        </w:rPr>
      </w:pPr>
      <w:r>
        <w:t>Le modèle économique linéaire que l’on suit depuis le début de l’industrialisation impose un</w:t>
      </w:r>
      <w:r>
        <w:rPr>
          <w:rFonts w:cs="CMR10"/>
        </w:rPr>
        <w:t xml:space="preserve"> prélèvement de ressources matérielles</w:t>
      </w:r>
      <w:r w:rsidR="00B92509">
        <w:rPr>
          <w:rFonts w:cs="CMR10"/>
        </w:rPr>
        <w:t xml:space="preserve"> (</w:t>
      </w:r>
      <w:r w:rsidR="002A12FE">
        <w:rPr>
          <w:rFonts w:cs="CMR10"/>
        </w:rPr>
        <w:t>f</w:t>
      </w:r>
      <w:r w:rsidR="00B92509">
        <w:rPr>
          <w:rFonts w:cs="CMR10"/>
        </w:rPr>
        <w:t>ig</w:t>
      </w:r>
      <w:r w:rsidR="002A12FE">
        <w:rPr>
          <w:rFonts w:cs="CMR10"/>
        </w:rPr>
        <w:t>ure</w:t>
      </w:r>
      <w:r w:rsidR="00B92509">
        <w:rPr>
          <w:rFonts w:cs="CMR10"/>
        </w:rPr>
        <w:t xml:space="preserve"> </w:t>
      </w:r>
      <w:r w:rsidR="00656D56">
        <w:rPr>
          <w:rFonts w:cs="CMR10"/>
        </w:rPr>
        <w:t>10</w:t>
      </w:r>
      <w:r w:rsidR="00B92509">
        <w:rPr>
          <w:rFonts w:cs="CMR10"/>
        </w:rPr>
        <w:t>)</w:t>
      </w:r>
      <w:r>
        <w:rPr>
          <w:rFonts w:cs="CMR10"/>
        </w:rPr>
        <w:t xml:space="preserve"> et énergétiques</w:t>
      </w:r>
      <w:r w:rsidR="00607013">
        <w:rPr>
          <w:rFonts w:cs="CMR10"/>
        </w:rPr>
        <w:t>, générant des déchets à chaque phase,</w:t>
      </w:r>
      <w:r>
        <w:rPr>
          <w:rFonts w:cs="CMR10"/>
        </w:rPr>
        <w:t xml:space="preserve"> et </w:t>
      </w:r>
      <w:r w:rsidR="00607013">
        <w:rPr>
          <w:rFonts w:cs="CMR10"/>
        </w:rPr>
        <w:t>entraîne</w:t>
      </w:r>
      <w:r>
        <w:rPr>
          <w:rFonts w:cs="CMR10"/>
        </w:rPr>
        <w:t xml:space="preserve"> un impact environnemental lourd.</w:t>
      </w:r>
    </w:p>
    <w:p w14:paraId="14CFDA1A" w14:textId="61DFE558" w:rsidR="00A860F6" w:rsidRDefault="0018613B" w:rsidP="00A860F6">
      <w:pPr>
        <w:rPr>
          <w:rFonts w:cs="CMR10"/>
        </w:rPr>
      </w:pPr>
      <w:r>
        <w:rPr>
          <w:rFonts w:cs="CMR10"/>
          <w:noProof/>
          <w:lang w:eastAsia="fr-FR"/>
        </w:rPr>
        <mc:AlternateContent>
          <mc:Choice Requires="wpg">
            <w:drawing>
              <wp:anchor distT="0" distB="0" distL="114300" distR="114300" simplePos="0" relativeHeight="251730944" behindDoc="0" locked="0" layoutInCell="1" allowOverlap="1" wp14:anchorId="3F15D3E3" wp14:editId="6AC1D770">
                <wp:simplePos x="0" y="0"/>
                <wp:positionH relativeFrom="margin">
                  <wp:align>center</wp:align>
                </wp:positionH>
                <wp:positionV relativeFrom="paragraph">
                  <wp:posOffset>78654</wp:posOffset>
                </wp:positionV>
                <wp:extent cx="5721350" cy="1074420"/>
                <wp:effectExtent l="0" t="0" r="12700" b="11430"/>
                <wp:wrapNone/>
                <wp:docPr id="3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1074420"/>
                          <a:chOff x="1428" y="5943"/>
                          <a:chExt cx="9010" cy="1692"/>
                        </a:xfrm>
                      </wpg:grpSpPr>
                      <wps:wsp>
                        <wps:cNvPr id="33" name="Zone de texte 29"/>
                        <wps:cNvSpPr txBox="1">
                          <a:spLocks noChangeArrowheads="1"/>
                        </wps:cNvSpPr>
                        <wps:spPr bwMode="auto">
                          <a:xfrm>
                            <a:off x="4015" y="7075"/>
                            <a:ext cx="990" cy="560"/>
                          </a:xfrm>
                          <a:prstGeom prst="rect">
                            <a:avLst/>
                          </a:prstGeom>
                          <a:solidFill>
                            <a:schemeClr val="bg2">
                              <a:lumMod val="50000"/>
                              <a:lumOff val="0"/>
                            </a:schemeClr>
                          </a:solidFill>
                          <a:ln w="6350">
                            <a:solidFill>
                              <a:schemeClr val="bg2">
                                <a:lumMod val="25000"/>
                                <a:lumOff val="0"/>
                              </a:schemeClr>
                            </a:solidFill>
                            <a:miter lim="800000"/>
                            <a:headEnd/>
                            <a:tailEnd/>
                          </a:ln>
                        </wps:spPr>
                        <wps:txbx>
                          <w:txbxContent>
                            <w:p w14:paraId="13D7F597" w14:textId="77777777" w:rsidR="00070D08" w:rsidRDefault="00070D08" w:rsidP="00607013">
                              <w:pPr>
                                <w:spacing w:before="120"/>
                                <w:jc w:val="center"/>
                              </w:pPr>
                              <w:r>
                                <w:t>Déchets</w:t>
                              </w:r>
                            </w:p>
                          </w:txbxContent>
                        </wps:txbx>
                        <wps:bodyPr rot="0" vert="horz" wrap="square" lIns="91440" tIns="45720" rIns="91440" bIns="45720" anchor="t" anchorCtr="0" upright="1">
                          <a:noAutofit/>
                        </wps:bodyPr>
                      </wps:wsp>
                      <wps:wsp>
                        <wps:cNvPr id="34" name="Zone de texte 30"/>
                        <wps:cNvSpPr txBox="1">
                          <a:spLocks noChangeArrowheads="1"/>
                        </wps:cNvSpPr>
                        <wps:spPr bwMode="auto">
                          <a:xfrm>
                            <a:off x="5687" y="7075"/>
                            <a:ext cx="990" cy="560"/>
                          </a:xfrm>
                          <a:prstGeom prst="rect">
                            <a:avLst/>
                          </a:prstGeom>
                          <a:solidFill>
                            <a:schemeClr val="bg2">
                              <a:lumMod val="50000"/>
                              <a:lumOff val="0"/>
                            </a:schemeClr>
                          </a:solidFill>
                          <a:ln w="6350">
                            <a:solidFill>
                              <a:schemeClr val="bg2">
                                <a:lumMod val="25000"/>
                                <a:lumOff val="0"/>
                              </a:schemeClr>
                            </a:solidFill>
                            <a:miter lim="800000"/>
                            <a:headEnd/>
                            <a:tailEnd/>
                          </a:ln>
                        </wps:spPr>
                        <wps:txbx>
                          <w:txbxContent>
                            <w:p w14:paraId="049272A9" w14:textId="77777777" w:rsidR="00070D08" w:rsidRDefault="00070D08" w:rsidP="00607013">
                              <w:pPr>
                                <w:spacing w:before="120"/>
                                <w:jc w:val="center"/>
                              </w:pPr>
                              <w:r>
                                <w:t>Déchets</w:t>
                              </w:r>
                            </w:p>
                          </w:txbxContent>
                        </wps:txbx>
                        <wps:bodyPr rot="0" vert="horz" wrap="square" lIns="91440" tIns="45720" rIns="91440" bIns="45720" anchor="t" anchorCtr="0" upright="1">
                          <a:noAutofit/>
                        </wps:bodyPr>
                      </wps:wsp>
                      <wps:wsp>
                        <wps:cNvPr id="35" name="Zone de texte 31"/>
                        <wps:cNvSpPr txBox="1">
                          <a:spLocks noChangeArrowheads="1"/>
                        </wps:cNvSpPr>
                        <wps:spPr bwMode="auto">
                          <a:xfrm>
                            <a:off x="7474" y="7075"/>
                            <a:ext cx="990" cy="560"/>
                          </a:xfrm>
                          <a:prstGeom prst="rect">
                            <a:avLst/>
                          </a:prstGeom>
                          <a:solidFill>
                            <a:schemeClr val="bg2">
                              <a:lumMod val="50000"/>
                              <a:lumOff val="0"/>
                            </a:schemeClr>
                          </a:solidFill>
                          <a:ln w="6350">
                            <a:solidFill>
                              <a:schemeClr val="bg2">
                                <a:lumMod val="25000"/>
                                <a:lumOff val="0"/>
                              </a:schemeClr>
                            </a:solidFill>
                            <a:miter lim="800000"/>
                            <a:headEnd/>
                            <a:tailEnd/>
                          </a:ln>
                        </wps:spPr>
                        <wps:txbx>
                          <w:txbxContent>
                            <w:p w14:paraId="5D89C964" w14:textId="77777777" w:rsidR="00070D08" w:rsidRDefault="00070D08" w:rsidP="00607013">
                              <w:pPr>
                                <w:spacing w:before="120"/>
                                <w:jc w:val="center"/>
                              </w:pPr>
                              <w:r>
                                <w:t>Déchets</w:t>
                              </w:r>
                            </w:p>
                          </w:txbxContent>
                        </wps:txbx>
                        <wps:bodyPr rot="0" vert="horz" wrap="square" lIns="91440" tIns="45720" rIns="91440" bIns="45720" anchor="t" anchorCtr="0" upright="1">
                          <a:noAutofit/>
                        </wps:bodyPr>
                      </wps:wsp>
                      <wps:wsp>
                        <wps:cNvPr id="36" name="Zone de texte 32"/>
                        <wps:cNvSpPr txBox="1">
                          <a:spLocks noChangeArrowheads="1"/>
                        </wps:cNvSpPr>
                        <wps:spPr bwMode="auto">
                          <a:xfrm>
                            <a:off x="9309" y="7075"/>
                            <a:ext cx="1004" cy="560"/>
                          </a:xfrm>
                          <a:prstGeom prst="rect">
                            <a:avLst/>
                          </a:prstGeom>
                          <a:solidFill>
                            <a:schemeClr val="bg2">
                              <a:lumMod val="50000"/>
                              <a:lumOff val="0"/>
                            </a:schemeClr>
                          </a:solidFill>
                          <a:ln w="6350">
                            <a:solidFill>
                              <a:schemeClr val="bg2">
                                <a:lumMod val="25000"/>
                                <a:lumOff val="0"/>
                              </a:schemeClr>
                            </a:solidFill>
                            <a:miter lim="800000"/>
                            <a:headEnd/>
                            <a:tailEnd/>
                          </a:ln>
                        </wps:spPr>
                        <wps:txbx>
                          <w:txbxContent>
                            <w:p w14:paraId="3C562668" w14:textId="77777777" w:rsidR="00070D08" w:rsidRDefault="00070D08" w:rsidP="00607013">
                              <w:pPr>
                                <w:spacing w:before="120"/>
                                <w:jc w:val="center"/>
                              </w:pPr>
                              <w:r>
                                <w:t>Déchets</w:t>
                              </w:r>
                            </w:p>
                          </w:txbxContent>
                        </wps:txbx>
                        <wps:bodyPr rot="0" vert="horz" wrap="square" lIns="91440" tIns="45720" rIns="91440" bIns="45720" anchor="t" anchorCtr="0" upright="1">
                          <a:noAutofit/>
                        </wps:bodyPr>
                      </wps:wsp>
                      <wps:wsp>
                        <wps:cNvPr id="37" name="Connecteur droit avec flèche 33"/>
                        <wps:cNvCnPr>
                          <a:cxnSpLocks noChangeShapeType="1"/>
                        </wps:cNvCnPr>
                        <wps:spPr bwMode="auto">
                          <a:xfrm>
                            <a:off x="4466" y="6910"/>
                            <a:ext cx="0" cy="1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0" name="Connecteur droit avec flèche 34"/>
                        <wps:cNvCnPr>
                          <a:cxnSpLocks noChangeShapeType="1"/>
                        </wps:cNvCnPr>
                        <wps:spPr bwMode="auto">
                          <a:xfrm>
                            <a:off x="6160" y="6910"/>
                            <a:ext cx="1" cy="1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1" name="Connecteur droit avec flèche 35"/>
                        <wps:cNvCnPr>
                          <a:cxnSpLocks noChangeShapeType="1"/>
                        </wps:cNvCnPr>
                        <wps:spPr bwMode="auto">
                          <a:xfrm>
                            <a:off x="7970" y="6910"/>
                            <a:ext cx="0" cy="1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 name="Connecteur droit avec flèche 36"/>
                        <wps:cNvCnPr>
                          <a:cxnSpLocks noChangeShapeType="1"/>
                        </wps:cNvCnPr>
                        <wps:spPr bwMode="auto">
                          <a:xfrm>
                            <a:off x="9792" y="6910"/>
                            <a:ext cx="0" cy="1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3" name="Zone de texte 13"/>
                        <wps:cNvSpPr txBox="1">
                          <a:spLocks noChangeArrowheads="1"/>
                        </wps:cNvSpPr>
                        <wps:spPr bwMode="auto">
                          <a:xfrm>
                            <a:off x="3880" y="6107"/>
                            <a:ext cx="1349" cy="790"/>
                          </a:xfrm>
                          <a:prstGeom prst="rect">
                            <a:avLst/>
                          </a:prstGeom>
                          <a:solidFill>
                            <a:schemeClr val="bg1">
                              <a:lumMod val="65000"/>
                              <a:lumOff val="0"/>
                            </a:schemeClr>
                          </a:solidFill>
                          <a:ln w="6350">
                            <a:solidFill>
                              <a:schemeClr val="tx1">
                                <a:lumMod val="50000"/>
                                <a:lumOff val="50000"/>
                              </a:schemeClr>
                            </a:solidFill>
                            <a:miter lim="800000"/>
                            <a:headEnd/>
                            <a:tailEnd/>
                          </a:ln>
                        </wps:spPr>
                        <wps:txbx>
                          <w:txbxContent>
                            <w:p w14:paraId="7F827B7E" w14:textId="77777777" w:rsidR="00070D08" w:rsidRDefault="00070D08" w:rsidP="00A860F6">
                              <w:pPr>
                                <w:jc w:val="center"/>
                              </w:pPr>
                              <w:r>
                                <w:t>Extraire</w:t>
                              </w:r>
                            </w:p>
                          </w:txbxContent>
                        </wps:txbx>
                        <wps:bodyPr rot="0" vert="horz" wrap="square" lIns="91440" tIns="45720" rIns="91440" bIns="45720" anchor="t" anchorCtr="0" upright="1">
                          <a:noAutofit/>
                        </wps:bodyPr>
                      </wps:wsp>
                      <wps:wsp>
                        <wps:cNvPr id="44" name="Zone de texte 14"/>
                        <wps:cNvSpPr txBox="1">
                          <a:spLocks noChangeArrowheads="1"/>
                        </wps:cNvSpPr>
                        <wps:spPr bwMode="auto">
                          <a:xfrm>
                            <a:off x="5530" y="6107"/>
                            <a:ext cx="1348" cy="790"/>
                          </a:xfrm>
                          <a:prstGeom prst="rect">
                            <a:avLst/>
                          </a:prstGeom>
                          <a:solidFill>
                            <a:schemeClr val="accent1">
                              <a:lumMod val="60000"/>
                              <a:lumOff val="40000"/>
                            </a:schemeClr>
                          </a:solidFill>
                          <a:ln w="6350">
                            <a:solidFill>
                              <a:schemeClr val="accent1">
                                <a:lumMod val="75000"/>
                                <a:lumOff val="0"/>
                              </a:schemeClr>
                            </a:solidFill>
                            <a:miter lim="800000"/>
                            <a:headEnd/>
                            <a:tailEnd/>
                          </a:ln>
                        </wps:spPr>
                        <wps:txbx>
                          <w:txbxContent>
                            <w:p w14:paraId="67800339" w14:textId="77777777" w:rsidR="00070D08" w:rsidRDefault="00070D08" w:rsidP="00A860F6">
                              <w:pPr>
                                <w:jc w:val="center"/>
                              </w:pPr>
                              <w:r>
                                <w:t>Produire</w:t>
                              </w:r>
                            </w:p>
                          </w:txbxContent>
                        </wps:txbx>
                        <wps:bodyPr rot="0" vert="horz" wrap="square" lIns="91440" tIns="45720" rIns="91440" bIns="45720" anchor="t" anchorCtr="0" upright="1">
                          <a:noAutofit/>
                        </wps:bodyPr>
                      </wps:wsp>
                      <wps:wsp>
                        <wps:cNvPr id="45" name="Zone de texte 16"/>
                        <wps:cNvSpPr txBox="1">
                          <a:spLocks noChangeArrowheads="1"/>
                        </wps:cNvSpPr>
                        <wps:spPr bwMode="auto">
                          <a:xfrm>
                            <a:off x="7179" y="6107"/>
                            <a:ext cx="1611" cy="790"/>
                          </a:xfrm>
                          <a:prstGeom prst="rect">
                            <a:avLst/>
                          </a:prstGeom>
                          <a:solidFill>
                            <a:schemeClr val="accent6">
                              <a:lumMod val="60000"/>
                              <a:lumOff val="40000"/>
                            </a:schemeClr>
                          </a:solidFill>
                          <a:ln w="6350">
                            <a:solidFill>
                              <a:schemeClr val="accent6">
                                <a:lumMod val="75000"/>
                                <a:lumOff val="0"/>
                              </a:schemeClr>
                            </a:solidFill>
                            <a:miter lim="800000"/>
                            <a:headEnd/>
                            <a:tailEnd/>
                          </a:ln>
                        </wps:spPr>
                        <wps:txbx>
                          <w:txbxContent>
                            <w:p w14:paraId="26AB5FA8" w14:textId="77777777" w:rsidR="00070D08" w:rsidRPr="00AD47C0" w:rsidRDefault="00070D08" w:rsidP="00A860F6">
                              <w:pPr>
                                <w:jc w:val="center"/>
                              </w:pPr>
                              <w:r w:rsidRPr="00AD47C0">
                                <w:t>Consommer</w:t>
                              </w:r>
                            </w:p>
                          </w:txbxContent>
                        </wps:txbx>
                        <wps:bodyPr rot="0" vert="horz" wrap="square" lIns="91440" tIns="45720" rIns="91440" bIns="45720" anchor="t" anchorCtr="0" upright="1">
                          <a:noAutofit/>
                        </wps:bodyPr>
                      </wps:wsp>
                      <wps:wsp>
                        <wps:cNvPr id="46" name="Zone de texte 17"/>
                        <wps:cNvSpPr txBox="1">
                          <a:spLocks noChangeArrowheads="1"/>
                        </wps:cNvSpPr>
                        <wps:spPr bwMode="auto">
                          <a:xfrm>
                            <a:off x="9089" y="6107"/>
                            <a:ext cx="1349" cy="790"/>
                          </a:xfrm>
                          <a:prstGeom prst="rect">
                            <a:avLst/>
                          </a:prstGeom>
                          <a:solidFill>
                            <a:schemeClr val="accent3">
                              <a:lumMod val="60000"/>
                              <a:lumOff val="40000"/>
                            </a:schemeClr>
                          </a:solidFill>
                          <a:ln w="6350">
                            <a:solidFill>
                              <a:schemeClr val="accent3">
                                <a:lumMod val="75000"/>
                                <a:lumOff val="0"/>
                              </a:schemeClr>
                            </a:solidFill>
                            <a:miter lim="800000"/>
                            <a:headEnd/>
                            <a:tailEnd/>
                          </a:ln>
                        </wps:spPr>
                        <wps:txbx>
                          <w:txbxContent>
                            <w:p w14:paraId="5B461337" w14:textId="77777777" w:rsidR="00070D08" w:rsidRDefault="00070D08" w:rsidP="00A860F6">
                              <w:pPr>
                                <w:jc w:val="center"/>
                              </w:pPr>
                              <w:r>
                                <w:t>Jeter</w:t>
                              </w:r>
                            </w:p>
                          </w:txbxContent>
                        </wps:txbx>
                        <wps:bodyPr rot="0" vert="horz" wrap="square" lIns="91440" tIns="45720" rIns="91440" bIns="45720" anchor="t" anchorCtr="0" upright="1">
                          <a:noAutofit/>
                        </wps:bodyPr>
                      </wps:wsp>
                      <wps:wsp>
                        <wps:cNvPr id="47" name="Ellipse 20"/>
                        <wps:cNvSpPr>
                          <a:spLocks noChangeArrowheads="1"/>
                        </wps:cNvSpPr>
                        <wps:spPr bwMode="auto">
                          <a:xfrm>
                            <a:off x="1428" y="5943"/>
                            <a:ext cx="2153" cy="1172"/>
                          </a:xfrm>
                          <a:prstGeom prst="ellipse">
                            <a:avLst/>
                          </a:prstGeom>
                          <a:solidFill>
                            <a:schemeClr val="accent2">
                              <a:lumMod val="60000"/>
                              <a:lumOff val="40000"/>
                            </a:schemeClr>
                          </a:solidFill>
                          <a:ln w="6350">
                            <a:solidFill>
                              <a:schemeClr val="accent2">
                                <a:lumMod val="75000"/>
                                <a:lumOff val="0"/>
                              </a:schemeClr>
                            </a:solidFill>
                            <a:round/>
                            <a:headEnd/>
                            <a:tailEnd/>
                          </a:ln>
                        </wps:spPr>
                        <wps:txbx>
                          <w:txbxContent>
                            <w:p w14:paraId="270C274C" w14:textId="77777777" w:rsidR="00070D08" w:rsidRPr="00607013" w:rsidRDefault="00070D08" w:rsidP="00607013">
                              <w:pPr>
                                <w:spacing w:before="0" w:after="0" w:line="240" w:lineRule="auto"/>
                                <w:jc w:val="center"/>
                                <w:rPr>
                                  <w:color w:val="000000" w:themeColor="text1"/>
                                </w:rPr>
                              </w:pPr>
                              <w:r w:rsidRPr="00607013">
                                <w:rPr>
                                  <w:color w:val="000000" w:themeColor="text1"/>
                                </w:rPr>
                                <w:t>Ressources primaires</w:t>
                              </w:r>
                              <w:r>
                                <w:rPr>
                                  <w:color w:val="000000" w:themeColor="text1"/>
                                </w:rPr>
                                <w:t xml:space="preserve"> non énergétiques</w:t>
                              </w:r>
                            </w:p>
                          </w:txbxContent>
                        </wps:txbx>
                        <wps:bodyPr rot="0" vert="horz" wrap="square" lIns="18000" tIns="10800" rIns="18000" bIns="36000" anchor="ctr" anchorCtr="0" upright="1">
                          <a:noAutofit/>
                        </wps:bodyPr>
                      </wps:wsp>
                      <wps:wsp>
                        <wps:cNvPr id="48" name="Connecteur droit avec flèche 23"/>
                        <wps:cNvCnPr>
                          <a:cxnSpLocks noChangeShapeType="1"/>
                        </wps:cNvCnPr>
                        <wps:spPr bwMode="auto">
                          <a:xfrm>
                            <a:off x="3594" y="6502"/>
                            <a:ext cx="288"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9" name="Connecteur droit avec flèche 25"/>
                        <wps:cNvCnPr>
                          <a:cxnSpLocks noChangeShapeType="1"/>
                        </wps:cNvCnPr>
                        <wps:spPr bwMode="auto">
                          <a:xfrm>
                            <a:off x="5244" y="6502"/>
                            <a:ext cx="287"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1" name="Connecteur droit avec flèche 26"/>
                        <wps:cNvCnPr>
                          <a:cxnSpLocks noChangeShapeType="1"/>
                        </wps:cNvCnPr>
                        <wps:spPr bwMode="auto">
                          <a:xfrm>
                            <a:off x="6893" y="6502"/>
                            <a:ext cx="287"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4" name="Connecteur droit avec flèche 27"/>
                        <wps:cNvCnPr>
                          <a:cxnSpLocks noChangeShapeType="1"/>
                        </wps:cNvCnPr>
                        <wps:spPr bwMode="auto">
                          <a:xfrm>
                            <a:off x="8803" y="6502"/>
                            <a:ext cx="287"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5D3E3" id="Group 42" o:spid="_x0000_s1026" style="position:absolute;left:0;text-align:left;margin-left:0;margin-top:6.2pt;width:450.5pt;height:84.6pt;z-index:251730944;mso-position-horizontal:center;mso-position-horizontal-relative:margin" coordorigin="1428,5943" coordsize="9010,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">
                <v:shapetype id="_x0000_t202" coordsize="21600,21600" o:spt="202" path="m,l,21600r21600,l21600,xe">
                  <v:stroke joinstyle="miter"/>
                  <v:path gradientshapeok="t" o:connecttype="rect"/>
                </v:shapetype>
                <v:shape id="Zone de texte 29" o:spid="_x0000_s1027" type="#_x0000_t202" style="position:absolute;left:4015;top:7075;width:99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46sYA&#10;AADbAAAADwAAAGRycy9kb3ducmV2LnhtbESPW2vCQBSE3wv+h+UIfSm6qaki0VVEWuhDQYwXfDxk&#10;j0kwezZkN5f++26h0MdhZr5h1tvBVKKjxpWWFbxOIxDEmdUl5wrOp4/JEoTzyBory6TgmxxsN6On&#10;NSba9nykLvW5CBB2CSoovK8TKV1WkEE3tTVx8O62MeiDbHKpG+wD3FRyFkULabDksFBgTfuCskfa&#10;GgWHw/wr3V1uafx27d5ntz0t4/ZFqefxsFuB8DT4//Bf+1MriGP4/RJ+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46sYAAADbAAAADwAAAAAAAAAAAAAAAACYAgAAZHJz&#10;L2Rvd25yZXYueG1sUEsFBgAAAAAEAAQA9QAAAIsDAAAAAA==&#10;" fillcolor="#947b42 [1614]" strokecolor="#493d21 [814]" strokeweight=".5pt">
                  <v:textbox>
                    <w:txbxContent>
                      <w:p w14:paraId="13D7F597" w14:textId="77777777" w:rsidR="00070D08" w:rsidRDefault="00070D08" w:rsidP="00607013">
                        <w:pPr>
                          <w:spacing w:before="120"/>
                          <w:jc w:val="center"/>
                        </w:pPr>
                        <w:r>
                          <w:t>Déchets</w:t>
                        </w:r>
                      </w:p>
                    </w:txbxContent>
                  </v:textbox>
                </v:shape>
                <v:shape id="Zone de texte 30" o:spid="_x0000_s1028" type="#_x0000_t202" style="position:absolute;left:5687;top:7075;width:99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gnsYA&#10;AADbAAAADwAAAGRycy9kb3ducmV2LnhtbESPT2vCQBTE70K/w/IKXorZ1KhImo2IWOhBENM/eHxk&#10;X5PQ7NuQXWP67btCweMwM79hss1oWjFQ7xrLCp6jGARxaXXDlYKP99fZGoTzyBpby6Tglxxs8odJ&#10;hqm2Vz7RUPhKBAi7FBXU3neplK6syaCLbEccvG/bG/RB9pXUPV4D3LRyHscrabDhsFBjR7uayp/i&#10;YhQcj8tDsf08F8nia9jPzztaJ5cnpaaP4/YFhKfR38P/7TetIFnA7Uv4AT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gnsYAAADbAAAADwAAAAAAAAAAAAAAAACYAgAAZHJz&#10;L2Rvd25yZXYueG1sUEsFBgAAAAAEAAQA9QAAAIsDAAAAAA==&#10;" fillcolor="#947b42 [1614]" strokecolor="#493d21 [814]" strokeweight=".5pt">
                  <v:textbox>
                    <w:txbxContent>
                      <w:p w14:paraId="049272A9" w14:textId="77777777" w:rsidR="00070D08" w:rsidRDefault="00070D08" w:rsidP="00607013">
                        <w:pPr>
                          <w:spacing w:before="120"/>
                          <w:jc w:val="center"/>
                        </w:pPr>
                        <w:r>
                          <w:t>Déchets</w:t>
                        </w:r>
                      </w:p>
                    </w:txbxContent>
                  </v:textbox>
                </v:shape>
                <v:shape id="Zone de texte 31" o:spid="_x0000_s1029" type="#_x0000_t202" style="position:absolute;left:7474;top:7075;width:99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WFBcYA&#10;AADbAAAADwAAAGRycy9kb3ducmV2LnhtbESPQWvCQBSE7wX/w/KEXopuNFUkzUZEKngQpNEWj4/s&#10;axLMvg3ZNab/visUehxm5hsmXQ+mET11rrasYDaNQBAXVtdcKjifdpMVCOeRNTaWScEPOVhno6cU&#10;E23v/EF97ksRIOwSVFB53yZSuqIig25qW+LgfdvOoA+yK6Xu8B7gppHzKFpKgzWHhQpb2lZUXPOb&#10;UXA8Lg755vOSx69f/fv8sqVVfHtR6nk8bN5AeBr8f/ivvdcK4gU8vo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WFBcYAAADbAAAADwAAAAAAAAAAAAAAAACYAgAAZHJz&#10;L2Rvd25yZXYueG1sUEsFBgAAAAAEAAQA9QAAAIsDAAAAAA==&#10;" fillcolor="#947b42 [1614]" strokecolor="#493d21 [814]" strokeweight=".5pt">
                  <v:textbox>
                    <w:txbxContent>
                      <w:p w14:paraId="5D89C964" w14:textId="77777777" w:rsidR="00070D08" w:rsidRDefault="00070D08" w:rsidP="00607013">
                        <w:pPr>
                          <w:spacing w:before="120"/>
                          <w:jc w:val="center"/>
                        </w:pPr>
                        <w:r>
                          <w:t>Déchets</w:t>
                        </w:r>
                      </w:p>
                    </w:txbxContent>
                  </v:textbox>
                </v:shape>
                <v:shape id="Zone de texte 32" o:spid="_x0000_s1030" type="#_x0000_t202" style="position:absolute;left:9309;top:7075;width:1004;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bcsYA&#10;AADbAAAADwAAAGRycy9kb3ducmV2LnhtbESPT2vCQBTE7wW/w/KEXopuNK1IzCoiFnooSOMfcnxk&#10;n0kw+zZk15h++26h0OMwM79h0s1gGtFT52rLCmbTCARxYXXNpYLT8X2yBOE8ssbGMin4Jgeb9egp&#10;xUTbB39Rn/lSBAi7BBVU3reJlK6oyKCb2pY4eFfbGfRBdqXUHT4C3DRyHkULabDmsFBhS7uKilt2&#10;NwoOh7fPbHvOs/j10u/n+Y6W8f1FqefxsF2B8DT4//Bf+0MriBfw+yX8AL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cbcsYAAADbAAAADwAAAAAAAAAAAAAAAACYAgAAZHJz&#10;L2Rvd25yZXYueG1sUEsFBgAAAAAEAAQA9QAAAIsDAAAAAA==&#10;" fillcolor="#947b42 [1614]" strokecolor="#493d21 [814]" strokeweight=".5pt">
                  <v:textbox>
                    <w:txbxContent>
                      <w:p w14:paraId="3C562668" w14:textId="77777777" w:rsidR="00070D08" w:rsidRDefault="00070D08" w:rsidP="00607013">
                        <w:pPr>
                          <w:spacing w:before="120"/>
                          <w:jc w:val="center"/>
                        </w:pPr>
                        <w:r>
                          <w:t>Déchets</w:t>
                        </w:r>
                      </w:p>
                    </w:txbxContent>
                  </v:textbox>
                </v:shape>
                <v:shapetype id="_x0000_t32" coordsize="21600,21600" o:spt="32" o:oned="t" path="m,l21600,21600e" filled="f">
                  <v:path arrowok="t" fillok="f" o:connecttype="none"/>
                  <o:lock v:ext="edit" shapetype="t"/>
                </v:shapetype>
                <v:shape id="Connecteur droit avec flèche 33" o:spid="_x0000_s1031" type="#_x0000_t32" style="position:absolute;left:4466;top:691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Rcg8UAAADbAAAADwAAAGRycy9kb3ducmV2LnhtbESPQUsDMRSE70L/Q3iF3my2ClXWpsVW&#10;hNJT3Sri7bF5blY3L9sk3d3++6YgeBxm5htmsRpsIzryoXasYDbNQBCXTtdcKXg/vN4+gggRWWPj&#10;mBScKcBqObpZYK5dz2/UFbESCcIhRwUmxjaXMpSGLIapa4mT9+28xZikr6T22Ce4beRdls2lxZrT&#10;gsGWNobK3+JkFTTdrj9+nH6O5mXfHYrN55dZ+1apyXh4fgIRaYj/4b/2Viu4f4D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Rcg8UAAADbAAAADwAAAAAAAAAA&#10;AAAAAAChAgAAZHJzL2Rvd25yZXYueG1sUEsFBgAAAAAEAAQA+QAAAJMDAAAAAA==&#10;" strokecolor="black [3213]">
                  <v:stroke endarrow="block"/>
                </v:shape>
                <v:shape id="Connecteur droit avec flèche 34" o:spid="_x0000_s1032" type="#_x0000_t32" style="position:absolute;left:6160;top:6910;width:1;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3isIAAADbAAAADwAAAGRycy9kb3ducmV2LnhtbERPz2vCMBS+D/wfwhO8zXRDxqhGcY7B&#10;8OTqRLw9mmdTbV5qEtvuv18Ogx0/vt+L1WAb0ZEPtWMFT9MMBHHpdM2Vgu/9x+MriBCRNTaOScEP&#10;BVgtRw8LzLXr+Yu6IlYihXDIUYGJsc2lDKUhi2HqWuLEnZ23GBP0ldQe+xRuG/mcZS/SYs2pwWBL&#10;G0PltbhbBU237W+H++Vm3nfdvtgcT+bNt0pNxsN6DiLSEP/Ff+5PrWCW1qc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u3isIAAADbAAAADwAAAAAAAAAAAAAA&#10;AAChAgAAZHJzL2Rvd25yZXYueG1sUEsFBgAAAAAEAAQA+QAAAJADAAAAAA==&#10;" strokecolor="black [3213]">
                  <v:stroke endarrow="block"/>
                </v:shape>
                <v:shape id="Connecteur droit avec flèche 35" o:spid="_x0000_s1033" type="#_x0000_t32" style="position:absolute;left:7970;top:691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SEcUAAADbAAAADwAAAGRycy9kb3ducmV2LnhtbESPzWrDMBCE74W8g9hAbo2cE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cSEcUAAADbAAAADwAAAAAAAAAA&#10;AAAAAAChAgAAZHJzL2Rvd25yZXYueG1sUEsFBgAAAAAEAAQA+QAAAJMDAAAAAA==&#10;" strokecolor="black [3213]">
                  <v:stroke endarrow="block"/>
                </v:shape>
                <v:shape id="Connecteur droit avec flèche 36" o:spid="_x0000_s1034" type="#_x0000_t32" style="position:absolute;left:9792;top:6910;width:0;height:1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MZsUAAADbAAAADwAAAGRycy9kb3ducmV2LnhtbESPzWrDMBCE74W8g9hAbo2cUEpxo4T8&#10;ECg5tU5D6G2xtpYba+VIiu2+fVUo9DjMzDfMYjXYRnTkQ+1YwWyagSAuna65UvB+3N8/gQgRWWPj&#10;mBR8U4DVcnS3wFy7nt+oK2IlEoRDjgpMjG0uZSgNWQxT1xIn79N5izFJX0ntsU9w28h5lj1KizWn&#10;BYMtbQ2Vl+JmFTTdob+ebl9Xs3vtjsX2/GE2vlVqMh7WzyAiDfE//Nd+0Qoe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WMZsUAAADbAAAADwAAAAAAAAAA&#10;AAAAAAChAgAAZHJzL2Rvd25yZXYueG1sUEsFBgAAAAAEAAQA+QAAAJMDAAAAAA==&#10;" strokecolor="black [3213]">
                  <v:stroke endarrow="block"/>
                </v:shape>
                <v:shape id="Zone de texte 13" o:spid="_x0000_s1035" type="#_x0000_t202" style="position:absolute;left:3880;top:6107;width:1349;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QP8UA&#10;AADbAAAADwAAAGRycy9kb3ducmV2LnhtbESP3WrCQBSE7wXfYTmCd7qxkSLRVUQoLVYEf8DbY/aY&#10;RLNnQ3aNqU/fLRS8HGbmG2a2aE0pGqpdYVnBaBiBIE6tLjhTcDx8DCYgnEfWWFomBT/kYDHvdmaY&#10;aPvgHTV7n4kAYZeggtz7KpHSpTkZdENbEQfvYmuDPsg6k7rGR4CbUr5F0bs0WHBYyLGiVU7pbX83&#10;CmIpm+XzUJ3pe3zarOPzfXv93CrV77XLKQhPrX+F/9tfWsE4hr8v4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A/xQAAANsAAAAPAAAAAAAAAAAAAAAAAJgCAABkcnMv&#10;ZG93bnJldi54bWxQSwUGAAAAAAQABAD1AAAAigMAAAAA&#10;" fillcolor="#a5a5a5 [2092]" strokecolor="gray [1629]" strokeweight=".5pt">
                  <v:textbox>
                    <w:txbxContent>
                      <w:p w14:paraId="7F827B7E" w14:textId="77777777" w:rsidR="00070D08" w:rsidRDefault="00070D08" w:rsidP="00A860F6">
                        <w:pPr>
                          <w:jc w:val="center"/>
                        </w:pPr>
                        <w:r>
                          <w:t>Extraire</w:t>
                        </w:r>
                      </w:p>
                    </w:txbxContent>
                  </v:textbox>
                </v:shape>
                <v:shape id="Zone de texte 14" o:spid="_x0000_s1036" type="#_x0000_t202" style="position:absolute;left:5530;top:6107;width:1348;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BTcIA&#10;AADbAAAADwAAAGRycy9kb3ducmV2LnhtbESPQWsCMRSE74L/ITyhN81aVMpqFLUoXqsi9PbcPLPL&#10;bl6WJHW3/74pFHocZuYbZrXpbSOe5EPlWMF0koEgLpyu2Ci4Xg7jNxAhImtsHJOCbwqwWQ8HK8y1&#10;6/iDnudoRIJwyFFBGWObSxmKkiyGiWuJk/dw3mJM0hupPXYJbhv5mmULabHitFBiS/uSivr8ZRXM&#10;u8NN+nczPV5Nfa8XdOTd502pl1G/XYKI1Mf/8F/7pBXMZvD7Jf0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wFNwgAAANsAAAAPAAAAAAAAAAAAAAAAAJgCAABkcnMvZG93&#10;bnJldi54bWxQSwUGAAAAAAQABAD1AAAAhwMAAAAA&#10;" fillcolor="#7dc2d3 [1940]" strokecolor="#2a6c7d [2404]" strokeweight=".5pt">
                  <v:textbox>
                    <w:txbxContent>
                      <w:p w14:paraId="67800339" w14:textId="77777777" w:rsidR="00070D08" w:rsidRDefault="00070D08" w:rsidP="00A860F6">
                        <w:pPr>
                          <w:jc w:val="center"/>
                        </w:pPr>
                        <w:r>
                          <w:t>Produire</w:t>
                        </w:r>
                      </w:p>
                    </w:txbxContent>
                  </v:textbox>
                </v:shape>
                <v:shape id="Zone de texte 16" o:spid="_x0000_s1037" type="#_x0000_t202" style="position:absolute;left:7179;top:6107;width:1611;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Iv8QA&#10;AADbAAAADwAAAGRycy9kb3ducmV2LnhtbESPQWvCQBSE70L/w/IKvemmYkqIbkQihZ4KtULr7Zl9&#10;JiHZt+nuVtN/3xUEj8PMfMOs1qPpxZmcby0reJ4lIIgrq1uuFew/X6cZCB+QNfaWScEfeVgXD5MV&#10;5tpe+IPOu1CLCGGfo4ImhCGX0lcNGfQzOxBH72SdwRClq6V2eIlw08t5krxIgy3HhQYHKhuqut2v&#10;UTB+7cMPleXCZ0fdbb9dunk/pEo9PY6bJYhAY7iHb+03rWCRwvVL/AG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biL/EAAAA2wAAAA8AAAAAAAAAAAAAAAAAmAIAAGRycy9k&#10;b3ducmV2LnhtbFBLBQYAAAAABAAEAPUAAACJAwAAAAA=&#10;" fillcolor="#8797c3 [1945]" strokecolor="#354369 [2409]" strokeweight=".5pt">
                  <v:textbox>
                    <w:txbxContent>
                      <w:p w14:paraId="26AB5FA8" w14:textId="77777777" w:rsidR="00070D08" w:rsidRPr="00AD47C0" w:rsidRDefault="00070D08" w:rsidP="00A860F6">
                        <w:pPr>
                          <w:jc w:val="center"/>
                        </w:pPr>
                        <w:r w:rsidRPr="00AD47C0">
                          <w:t>Consommer</w:t>
                        </w:r>
                      </w:p>
                    </w:txbxContent>
                  </v:textbox>
                </v:shape>
                <v:shape id="Zone de texte 17" o:spid="_x0000_s1038" type="#_x0000_t202" style="position:absolute;left:9089;top:6107;width:1349;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udcMA&#10;AADbAAAADwAAAGRycy9kb3ducmV2LnhtbESPX2vCMBTF34V9h3CFvc1UmUU6o8ic4h6G2A32em2u&#10;bbG56ZJY67dfBgMfD+fPjzNf9qYRHTlfW1YwHiUgiAuray4VfH1unmYgfEDW2FgmBTfysFw8DOaY&#10;aXvlA3V5KEUcYZ+hgiqENpPSFxUZ9CPbEkfvZJ3BEKUrpXZ4jeOmkZMkSaXBmiOhwpZeKyrO+cVE&#10;yGXTbI/9R7p/czl+r1G+T386pR6H/eoFRKA+3MP/7Z1W8JzC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mudcMAAADbAAAADwAAAAAAAAAAAAAAAACYAgAAZHJzL2Rv&#10;d25yZXYueG1sUEsFBgAAAAAEAAQA9QAAAIgDAAAAAA==&#10;" fillcolor="#e07b7b [1942]" strokecolor="#912122 [2406]" strokeweight=".5pt">
                  <v:textbox>
                    <w:txbxContent>
                      <w:p w14:paraId="5B461337" w14:textId="77777777" w:rsidR="00070D08" w:rsidRDefault="00070D08" w:rsidP="00A860F6">
                        <w:pPr>
                          <w:jc w:val="center"/>
                        </w:pPr>
                        <w:r>
                          <w:t>Jeter</w:t>
                        </w:r>
                      </w:p>
                    </w:txbxContent>
                  </v:textbox>
                </v:shape>
                <v:oval id="Ellipse 20" o:spid="_x0000_s1039" style="position:absolute;left:1428;top:5943;width:2153;height:1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2fb8A&#10;AADbAAAADwAAAGRycy9kb3ducmV2LnhtbESPzQrCMBCE74LvEFbwpqkiKtUoIgqiKPgDXpdmbYvN&#10;pjRR69sbQfA4zMw3zHRem0I8qXK5ZQW9bgSCOLE651TB5bzujEE4j6yxsEwK3uRgPms2phhr++Ij&#10;PU8+FQHCLkYFmfdlLKVLMjLourYkDt7NVgZ9kFUqdYWvADeF7EfRUBrMOSxkWNIyo+R+ehgFtzuu&#10;a7ez++RavkmuLodtbh9KtVv1YgLCU+3/4V97oxUMRvD9En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OrZ9vwAAANsAAAAPAAAAAAAAAAAAAAAAAJgCAABkcnMvZG93bnJl&#10;di54bWxQSwUGAAAAAAQABAD1AAAAhAMAAAAA&#10;" fillcolor="#fed36b [1941]" strokecolor="#c48b01 [2405]" strokeweight=".5pt">
                  <v:textbox inset=".5mm,.3mm,.5mm,1mm">
                    <w:txbxContent>
                      <w:p w14:paraId="270C274C" w14:textId="77777777" w:rsidR="00070D08" w:rsidRPr="00607013" w:rsidRDefault="00070D08" w:rsidP="00607013">
                        <w:pPr>
                          <w:spacing w:before="0" w:after="0" w:line="240" w:lineRule="auto"/>
                          <w:jc w:val="center"/>
                          <w:rPr>
                            <w:color w:val="000000" w:themeColor="text1"/>
                          </w:rPr>
                        </w:pPr>
                        <w:r w:rsidRPr="00607013">
                          <w:rPr>
                            <w:color w:val="000000" w:themeColor="text1"/>
                          </w:rPr>
                          <w:t>Ressources primaires</w:t>
                        </w:r>
                        <w:r>
                          <w:rPr>
                            <w:color w:val="000000" w:themeColor="text1"/>
                          </w:rPr>
                          <w:t xml:space="preserve"> non énergétiques</w:t>
                        </w:r>
                      </w:p>
                    </w:txbxContent>
                  </v:textbox>
                </v:oval>
                <v:shape id="Connecteur droit avec flèche 23" o:spid="_x0000_s1040" type="#_x0000_t32" style="position:absolute;left:3594;top:6502;width:2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7jMIAAADbAAAADwAAAGRycy9kb3ducmV2LnhtbERPz2vCMBS+D/wfwhO8zXRDxqhGcY7B&#10;8OTqRLw9mmdTbV5qEtvuv18Ogx0/vt+L1WAb0ZEPtWMFT9MMBHHpdM2Vgu/9x+MriBCRNTaOScEP&#10;BVgtRw8LzLXr+Yu6IlYihXDIUYGJsc2lDKUhi2HqWuLEnZ23GBP0ldQe+xRuG/mcZS/SYs2pwWBL&#10;G0PltbhbBU237W+H++Vm3nfdvtgcT+bNt0pNxsN6DiLSEP/Ff+5PrWCWxqY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7jMIAAADbAAAADwAAAAAAAAAAAAAA&#10;AAChAgAAZHJzL2Rvd25yZXYueG1sUEsFBgAAAAAEAAQA+QAAAJADAAAAAA==&#10;" strokecolor="black [3213]">
                  <v:stroke endarrow="block"/>
                </v:shape>
                <v:shape id="Connecteur droit avec flèche 25" o:spid="_x0000_s1041" type="#_x0000_t32" style="position:absolute;left:5244;top:6502;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eF8UAAADbAAAADwAAAGRycy9kb3ducmV2LnhtbESPQUsDMRSE70L/Q3iF3my2IkXXpsVW&#10;hNJT3Sri7bF5blY3L9sk3d3++6YgeBxm5htmsRpsIzryoXasYDbNQBCXTtdcKXg/vN4+gAgRWWPj&#10;mBScKcBqObpZYK5dz2/UFbESCcIhRwUmxjaXMpSGLIapa4mT9+28xZikr6T22Ce4beRdls2lxZrT&#10;gsGWNobK3+JkFTTdrj9+nH6O5mXfHYrN55dZ+1apyXh4fgIRaYj/4b/2Viu4f4T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EeF8UAAADbAAAADwAAAAAAAAAA&#10;AAAAAAChAgAAZHJzL2Rvd25yZXYueG1sUEsFBgAAAAAEAAQA+QAAAJMDAAAAAA==&#10;" strokecolor="black [3213]">
                  <v:stroke endarrow="block"/>
                </v:shape>
                <v:shape id="Connecteur droit avec flèche 26" o:spid="_x0000_s1042" type="#_x0000_t32" style="position:absolute;left:6893;top:6502;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6EzMUAAADbAAAADwAAAGRycy9kb3ducmV2LnhtbESPzWrDMBCE74W8g9hAbo2cQkpxo4T8&#10;UAg5tU5D6G2xtpYba+VIiu2+fVUo9DjMzDfMYjXYRnTkQ+1YwWyagSAuna65UvB+fLl/AhEissbG&#10;MSn4pgCr5ehugbl2Pb9RV8RKJAiHHBWYGNtcylAashimriVO3qfzFmOSvpLaY5/gtpEPWfYoLdac&#10;Fgy2tDVUXoqbVdB0h/56un1dze61Oxbb84fZ+FapyXhYP4OINMT/8F97rxXMZ/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6EzMUAAADbAAAADwAAAAAAAAAA&#10;AAAAAAChAgAAZHJzL2Rvd25yZXYueG1sUEsFBgAAAAAEAAQA+QAAAJMDAAAAAA==&#10;" strokecolor="black [3213]">
                  <v:stroke endarrow="block"/>
                </v:shape>
                <v:shape id="Connecteur droit avec flèche 27" o:spid="_x0000_s1043" type="#_x0000_t32" style="position:absolute;left:8803;top:6502;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nVMUAAADbAAAADwAAAGRycy9kb3ducmV2LnhtbESPQUsDMRSE70L/Q3iF3my2YkXWpsVW&#10;hNJT3Sri7bF5blY3L9sk3d3++6YgeBxm5htmsRpsIzryoXasYDbNQBCXTtdcKXg/vN4+gggRWWPj&#10;mBScKcBqObpZYK5dz2/UFbESCcIhRwUmxjaXMpSGLIapa4mT9+28xZikr6T22Ce4beRdlj1IizWn&#10;BYMtbQyVv8XJKmi6XX/8OP0czcu+OxSbzy+z9q1Sk/Hw/AQi0hD/w3/trVYwv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nVMUAAADbAAAADwAAAAAAAAAA&#10;AAAAAAChAgAAZHJzL2Rvd25yZXYueG1sUEsFBgAAAAAEAAQA+QAAAJMDAAAAAA==&#10;" strokecolor="black [3213]">
                  <v:stroke endarrow="block"/>
                </v:shape>
                <w10:wrap anchorx="margin"/>
              </v:group>
            </w:pict>
          </mc:Fallback>
        </mc:AlternateContent>
      </w:r>
    </w:p>
    <w:p w14:paraId="04EED33E" w14:textId="77777777" w:rsidR="00A860F6" w:rsidRDefault="00A860F6" w:rsidP="00335301">
      <w:pPr>
        <w:spacing w:before="360"/>
        <w:rPr>
          <w:rFonts w:cs="CMR10"/>
        </w:rPr>
      </w:pPr>
    </w:p>
    <w:p w14:paraId="592AA30D" w14:textId="77777777" w:rsidR="00A860F6" w:rsidRDefault="00A860F6" w:rsidP="00A860F6">
      <w:pPr>
        <w:rPr>
          <w:rFonts w:cs="CMR10"/>
        </w:rPr>
      </w:pPr>
    </w:p>
    <w:p w14:paraId="53BE0609" w14:textId="77777777" w:rsidR="00A860F6" w:rsidRDefault="00A860F6" w:rsidP="00AD47C0">
      <w:pPr>
        <w:pStyle w:val="Lgende"/>
        <w:spacing w:before="240"/>
        <w:rPr>
          <w:rFonts w:cs="CMR10"/>
        </w:rPr>
      </w:pPr>
      <w:r>
        <w:t xml:space="preserve">Figure </w:t>
      </w:r>
      <w:r w:rsidR="009E14BA">
        <w:rPr>
          <w:noProof/>
        </w:rPr>
        <w:fldChar w:fldCharType="begin"/>
      </w:r>
      <w:r w:rsidR="00F473E7">
        <w:rPr>
          <w:noProof/>
        </w:rPr>
        <w:instrText xml:space="preserve"> SEQ Figure \* ARABIC </w:instrText>
      </w:r>
      <w:r w:rsidR="009E14BA">
        <w:rPr>
          <w:noProof/>
        </w:rPr>
        <w:fldChar w:fldCharType="separate"/>
      </w:r>
      <w:r w:rsidR="00C64908">
        <w:rPr>
          <w:noProof/>
        </w:rPr>
        <w:t>10</w:t>
      </w:r>
      <w:r w:rsidR="009E14BA">
        <w:rPr>
          <w:noProof/>
        </w:rPr>
        <w:fldChar w:fldCharType="end"/>
      </w:r>
      <w:r>
        <w:t> : Schématisation du modèle économique linéaire</w:t>
      </w:r>
    </w:p>
    <w:p w14:paraId="3BFA58B8" w14:textId="77777777" w:rsidR="006F062B" w:rsidRDefault="00B37CDF" w:rsidP="00AD47C0">
      <w:pPr>
        <w:spacing w:after="0"/>
      </w:pPr>
      <w:r>
        <w:t xml:space="preserve">L’extraction mondiale des ressources primaires énergétiques et non-énergétiques continue sa croissance, </w:t>
      </w:r>
      <w:r w:rsidRPr="00BD7287">
        <w:rPr>
          <w:b/>
        </w:rPr>
        <w:t>aucune catégorie n’est en diminution</w:t>
      </w:r>
      <w:r>
        <w:t xml:space="preserve"> (figure </w:t>
      </w:r>
      <w:r w:rsidR="00951740">
        <w:t>11</w:t>
      </w:r>
      <w:r>
        <w:t>)</w:t>
      </w:r>
      <w:r w:rsidR="00BD2B59">
        <w:t>. En presque 40 ans, les extractions des quatre groupes examinés sur ce graphique sont en croissance de plus de 200%. L</w:t>
      </w:r>
      <w:r w:rsidR="009754B1">
        <w:t>es minerais non</w:t>
      </w:r>
      <w:r w:rsidR="00BD2B59">
        <w:t>-</w:t>
      </w:r>
      <w:r w:rsidR="009754B1">
        <w:t>m</w:t>
      </w:r>
      <w:r w:rsidR="00BD2B59">
        <w:t>étalliques</w:t>
      </w:r>
      <w:r w:rsidR="009754B1">
        <w:t>, dont les terres rares font partie, sont les plus sollicités.</w:t>
      </w:r>
    </w:p>
    <w:p w14:paraId="0E2A4F55" w14:textId="77777777" w:rsidR="00BD2B59" w:rsidRDefault="00BD2B59" w:rsidP="00BD2B59">
      <w:pPr>
        <w:pStyle w:val="Sansinterligne"/>
      </w:pPr>
      <w:r>
        <w:rPr>
          <w:noProof/>
          <w:lang w:eastAsia="fr-FR"/>
        </w:rPr>
        <w:drawing>
          <wp:inline distT="0" distB="0" distL="0" distR="0" wp14:anchorId="436E7D10" wp14:editId="63D28A5C">
            <wp:extent cx="3846007" cy="3524435"/>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xtraction mondiale de 1970 à 2017 par groupe de matières.png"/>
                    <pic:cNvPicPr/>
                  </pic:nvPicPr>
                  <pic:blipFill>
                    <a:blip r:embed="rId21">
                      <a:extLst>
                        <a:ext uri="{28A0092B-C50C-407E-A947-70E740481C1C}">
                          <a14:useLocalDpi xmlns:a14="http://schemas.microsoft.com/office/drawing/2010/main" val="0"/>
                        </a:ext>
                      </a:extLst>
                    </a:blip>
                    <a:stretch>
                      <a:fillRect/>
                    </a:stretch>
                  </pic:blipFill>
                  <pic:spPr>
                    <a:xfrm>
                      <a:off x="0" y="0"/>
                      <a:ext cx="3878591" cy="3554294"/>
                    </a:xfrm>
                    <a:prstGeom prst="rect">
                      <a:avLst/>
                    </a:prstGeom>
                  </pic:spPr>
                </pic:pic>
              </a:graphicData>
            </a:graphic>
          </wp:inline>
        </w:drawing>
      </w:r>
    </w:p>
    <w:p w14:paraId="0832241C" w14:textId="77777777" w:rsidR="007B23A3" w:rsidRDefault="00BD2B59" w:rsidP="00BD2B59">
      <w:pPr>
        <w:pStyle w:val="Lgende"/>
      </w:pPr>
      <w:r>
        <w:t xml:space="preserve">Figure </w:t>
      </w:r>
      <w:r w:rsidR="009E14BA">
        <w:rPr>
          <w:noProof/>
        </w:rPr>
        <w:fldChar w:fldCharType="begin"/>
      </w:r>
      <w:r w:rsidR="00F473E7">
        <w:rPr>
          <w:noProof/>
        </w:rPr>
        <w:instrText xml:space="preserve"> SEQ Figure \* ARABIC </w:instrText>
      </w:r>
      <w:r w:rsidR="009E14BA">
        <w:rPr>
          <w:noProof/>
        </w:rPr>
        <w:fldChar w:fldCharType="separate"/>
      </w:r>
      <w:r w:rsidR="00C64908">
        <w:rPr>
          <w:noProof/>
        </w:rPr>
        <w:t>11</w:t>
      </w:r>
      <w:r w:rsidR="009E14BA">
        <w:rPr>
          <w:noProof/>
        </w:rPr>
        <w:fldChar w:fldCharType="end"/>
      </w:r>
      <w:r>
        <w:t> : Extraction mondiale de 1970 à 2017 par groupe de matières : minerais métalliques, combustibles fossiles, minerais non-métalliques, biomasse, source [</w:t>
      </w:r>
      <w:r w:rsidR="00951740">
        <w:t>17</w:t>
      </w:r>
      <w:r>
        <w:t>]</w:t>
      </w:r>
    </w:p>
    <w:p w14:paraId="069FEA71" w14:textId="77777777" w:rsidR="009754B1" w:rsidRPr="009754B1" w:rsidRDefault="009754B1" w:rsidP="009754B1">
      <w:pPr>
        <w:pStyle w:val="Lgende"/>
        <w:spacing w:before="0"/>
      </w:pPr>
      <w:r>
        <w:t>B = billion. 1 billion of ton = 1 milliard de tonnes soit 10</w:t>
      </w:r>
      <w:r w:rsidRPr="009754B1">
        <w:rPr>
          <w:vertAlign w:val="superscript"/>
        </w:rPr>
        <w:t>9</w:t>
      </w:r>
      <w:r>
        <w:t xml:space="preserve"> tonnes ou 1 Gt</w:t>
      </w:r>
    </w:p>
    <w:p w14:paraId="3FF1A13B" w14:textId="77777777" w:rsidR="00B076BE" w:rsidRPr="00B076BE" w:rsidRDefault="005C1761" w:rsidP="005D6F52">
      <w:r>
        <w:lastRenderedPageBreak/>
        <w:t xml:space="preserve">Un modèle économique circulaire permettrait </w:t>
      </w:r>
      <w:r w:rsidR="00FF1A21">
        <w:t xml:space="preserve">de faire entrer la </w:t>
      </w:r>
      <w:r>
        <w:t xml:space="preserve">sobriété dans l’extraction des ressources primaires. </w:t>
      </w:r>
      <w:r w:rsidR="00FF1A21">
        <w:t>La réduction des besoins en matériaux</w:t>
      </w:r>
      <w:r>
        <w:t xml:space="preserve"> passe par </w:t>
      </w:r>
      <w:r w:rsidR="00FF1A21">
        <w:t xml:space="preserve">un allongement de la vie des produits (incluant </w:t>
      </w:r>
      <w:r w:rsidR="007B54DB">
        <w:t xml:space="preserve">une amélioration de leur réparabilité et </w:t>
      </w:r>
      <w:r w:rsidR="00FF1A21">
        <w:t xml:space="preserve">une seconde vie par changement de propriétaire) et seulement ensuite par </w:t>
      </w:r>
      <w:r>
        <w:t>le recyclage des matériaux lorsque le</w:t>
      </w:r>
      <w:r w:rsidR="00FF1A21">
        <w:t>s</w:t>
      </w:r>
      <w:r>
        <w:t xml:space="preserve"> produit</w:t>
      </w:r>
      <w:r w:rsidR="00FF1A21">
        <w:t>s</w:t>
      </w:r>
      <w:r>
        <w:t xml:space="preserve"> </w:t>
      </w:r>
      <w:r w:rsidR="00FF1A21">
        <w:t xml:space="preserve">arrivent </w:t>
      </w:r>
      <w:r>
        <w:t>en fin de vie</w:t>
      </w:r>
      <w:r w:rsidR="00FF1A21">
        <w:t xml:space="preserve"> </w:t>
      </w:r>
      <w:r>
        <w:t xml:space="preserve"> lorsque qu’il</w:t>
      </w:r>
      <w:r w:rsidR="00FF1A21">
        <w:t>s ne</w:t>
      </w:r>
      <w:r>
        <w:t xml:space="preserve"> peu</w:t>
      </w:r>
      <w:r w:rsidR="00FF1A21">
        <w:t>ven</w:t>
      </w:r>
      <w:r>
        <w:t xml:space="preserve">t </w:t>
      </w:r>
      <w:r w:rsidR="00FF1A21">
        <w:t xml:space="preserve">plus </w:t>
      </w:r>
      <w:r>
        <w:t>être réparé</w:t>
      </w:r>
      <w:r w:rsidR="00FF1A21">
        <w:t>s</w:t>
      </w:r>
      <w:r>
        <w:t xml:space="preserve"> et/ou transformé</w:t>
      </w:r>
      <w:r w:rsidR="00FF1A21">
        <w:t>s</w:t>
      </w:r>
      <w:r>
        <w:t>.</w:t>
      </w:r>
      <w:r w:rsidR="00B076BE">
        <w:t xml:space="preserve"> </w:t>
      </w:r>
      <w:r w:rsidR="00B076BE" w:rsidRPr="00B076BE">
        <w:t xml:space="preserve">Cette </w:t>
      </w:r>
      <w:r w:rsidR="00B076BE">
        <w:t>vision « du berceau au berceau » (</w:t>
      </w:r>
      <w:proofErr w:type="spellStart"/>
      <w:r w:rsidR="00B076BE">
        <w:t>cradle</w:t>
      </w:r>
      <w:proofErr w:type="spellEnd"/>
      <w:r w:rsidR="00B076BE">
        <w:t xml:space="preserve"> to </w:t>
      </w:r>
      <w:proofErr w:type="spellStart"/>
      <w:r w:rsidR="00B076BE">
        <w:t>cradle</w:t>
      </w:r>
      <w:proofErr w:type="spellEnd"/>
      <w:r w:rsidR="00B076BE">
        <w:t xml:space="preserve"> ou C2C)</w:t>
      </w:r>
      <w:r w:rsidR="00B076BE" w:rsidRPr="00B076BE">
        <w:t xml:space="preserve"> remplace celle « du berceau au tombeau » </w:t>
      </w:r>
      <w:r w:rsidR="00B076BE">
        <w:t>(</w:t>
      </w:r>
      <w:proofErr w:type="spellStart"/>
      <w:r w:rsidR="00B076BE">
        <w:t>cradle</w:t>
      </w:r>
      <w:proofErr w:type="spellEnd"/>
      <w:r w:rsidR="00B076BE">
        <w:t xml:space="preserve"> to grave ou C2G)</w:t>
      </w:r>
      <w:r w:rsidR="00B076BE" w:rsidRPr="00B076BE">
        <w:t xml:space="preserve"> fondée sur la fabrication de produits qui deviendront des déchets.</w:t>
      </w:r>
      <w:r w:rsidR="00BD7287">
        <w:t xml:space="preserve"> Pour compléter ce sujet, on pourra co</w:t>
      </w:r>
      <w:r w:rsidR="00FF1A21">
        <w:t>n</w:t>
      </w:r>
      <w:r w:rsidR="00BD7287">
        <w:t>sulter la ressource « Concepts et chiffres de l’énergie : Conversion d’énergie et analyse sur cycle de vie » [</w:t>
      </w:r>
      <w:r w:rsidR="008B35E9">
        <w:t>18</w:t>
      </w:r>
      <w:r w:rsidR="00BD7287">
        <w:t xml:space="preserve">]. </w:t>
      </w:r>
    </w:p>
    <w:p w14:paraId="33C32668" w14:textId="3C0D09B3" w:rsidR="007B23A3" w:rsidRDefault="0018613B" w:rsidP="003B4228">
      <w:r>
        <w:rPr>
          <w:noProof/>
          <w:lang w:eastAsia="fr-FR"/>
        </w:rPr>
        <mc:AlternateContent>
          <mc:Choice Requires="wpg">
            <w:drawing>
              <wp:anchor distT="0" distB="0" distL="114300" distR="114300" simplePos="0" relativeHeight="251693056" behindDoc="0" locked="0" layoutInCell="1" allowOverlap="1" wp14:anchorId="78F64D24" wp14:editId="673443D3">
                <wp:simplePos x="0" y="0"/>
                <wp:positionH relativeFrom="margin">
                  <wp:align>center</wp:align>
                </wp:positionH>
                <wp:positionV relativeFrom="paragraph">
                  <wp:posOffset>54561</wp:posOffset>
                </wp:positionV>
                <wp:extent cx="6113780" cy="1367155"/>
                <wp:effectExtent l="0" t="0" r="20320" b="23495"/>
                <wp:wrapNone/>
                <wp:docPr id="6" name="Groupe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780" cy="1367155"/>
                          <a:chOff x="0" y="0"/>
                          <a:chExt cx="61143" cy="13674"/>
                        </a:xfrm>
                      </wpg:grpSpPr>
                      <wpg:grpSp>
                        <wpg:cNvPr id="9" name="Groupe 58"/>
                        <wpg:cNvGrpSpPr>
                          <a:grpSpLocks/>
                        </wpg:cNvGrpSpPr>
                        <wpg:grpSpPr bwMode="auto">
                          <a:xfrm>
                            <a:off x="0" y="95"/>
                            <a:ext cx="61143" cy="12506"/>
                            <a:chOff x="0" y="-980"/>
                            <a:chExt cx="61143" cy="12506"/>
                          </a:xfrm>
                        </wpg:grpSpPr>
                        <wpg:grpSp>
                          <wpg:cNvPr id="12" name="Groupe 40"/>
                          <wpg:cNvGrpSpPr>
                            <a:grpSpLocks/>
                          </wpg:cNvGrpSpPr>
                          <wpg:grpSpPr bwMode="auto">
                            <a:xfrm>
                              <a:off x="0" y="-980"/>
                              <a:ext cx="61143" cy="8190"/>
                              <a:chOff x="0" y="-980"/>
                              <a:chExt cx="61143" cy="8191"/>
                            </a:xfrm>
                          </wpg:grpSpPr>
                          <wps:wsp>
                            <wps:cNvPr id="13" name="Zone de texte 41"/>
                            <wps:cNvSpPr txBox="1">
                              <a:spLocks noChangeArrowheads="1"/>
                            </wps:cNvSpPr>
                            <wps:spPr bwMode="auto">
                              <a:xfrm>
                                <a:off x="17135" y="0"/>
                                <a:ext cx="9430" cy="5524"/>
                              </a:xfrm>
                              <a:prstGeom prst="rect">
                                <a:avLst/>
                              </a:prstGeom>
                              <a:noFill/>
                              <a:ln w="6350">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1C4349" w14:textId="77777777" w:rsidR="00070D08" w:rsidRDefault="00070D08" w:rsidP="005C1761">
                                  <w:pPr>
                                    <w:jc w:val="center"/>
                                  </w:pPr>
                                  <w:r>
                                    <w:t>Extraire</w:t>
                                  </w:r>
                                </w:p>
                              </w:txbxContent>
                            </wps:txbx>
                            <wps:bodyPr rot="0" vert="horz" wrap="square" lIns="91440" tIns="45720" rIns="91440" bIns="45720" anchor="t" anchorCtr="0" upright="1">
                              <a:noAutofit/>
                            </wps:bodyPr>
                          </wps:wsp>
                          <wps:wsp>
                            <wps:cNvPr id="14" name="Zone de texte 42"/>
                            <wps:cNvSpPr txBox="1">
                              <a:spLocks noChangeArrowheads="1"/>
                            </wps:cNvSpPr>
                            <wps:spPr bwMode="auto">
                              <a:xfrm>
                                <a:off x="28661" y="0"/>
                                <a:ext cx="9430" cy="5524"/>
                              </a:xfrm>
                              <a:prstGeom prst="rect">
                                <a:avLst/>
                              </a:prstGeom>
                              <a:solidFill>
                                <a:schemeClr val="accent1">
                                  <a:lumMod val="60000"/>
                                  <a:lumOff val="40000"/>
                                </a:schemeClr>
                              </a:solidFill>
                              <a:ln w="6350">
                                <a:solidFill>
                                  <a:schemeClr val="accent1">
                                    <a:lumMod val="75000"/>
                                    <a:lumOff val="0"/>
                                  </a:schemeClr>
                                </a:solidFill>
                                <a:miter lim="800000"/>
                                <a:headEnd/>
                                <a:tailEnd/>
                              </a:ln>
                            </wps:spPr>
                            <wps:txbx>
                              <w:txbxContent>
                                <w:p w14:paraId="1B289827" w14:textId="77777777" w:rsidR="00070D08" w:rsidRDefault="00070D08" w:rsidP="005C1761">
                                  <w:pPr>
                                    <w:jc w:val="center"/>
                                  </w:pPr>
                                  <w:r>
                                    <w:t>Produire</w:t>
                                  </w:r>
                                </w:p>
                              </w:txbxContent>
                            </wps:txbx>
                            <wps:bodyPr rot="0" vert="horz" wrap="square" lIns="91440" tIns="45720" rIns="91440" bIns="45720" anchor="t" anchorCtr="0" upright="1">
                              <a:noAutofit/>
                            </wps:bodyPr>
                          </wps:wsp>
                          <wps:wsp>
                            <wps:cNvPr id="16" name="Zone de texte 43"/>
                            <wps:cNvSpPr txBox="1">
                              <a:spLocks noChangeArrowheads="1"/>
                            </wps:cNvSpPr>
                            <wps:spPr bwMode="auto">
                              <a:xfrm>
                                <a:off x="40187" y="0"/>
                                <a:ext cx="9430" cy="5524"/>
                              </a:xfrm>
                              <a:prstGeom prst="rect">
                                <a:avLst/>
                              </a:prstGeom>
                              <a:solidFill>
                                <a:schemeClr val="accent6">
                                  <a:lumMod val="60000"/>
                                  <a:lumOff val="40000"/>
                                </a:schemeClr>
                              </a:solidFill>
                              <a:ln w="6350">
                                <a:solidFill>
                                  <a:schemeClr val="accent6">
                                    <a:lumMod val="75000"/>
                                    <a:lumOff val="0"/>
                                  </a:schemeClr>
                                </a:solidFill>
                                <a:miter lim="800000"/>
                                <a:headEnd/>
                                <a:tailEnd/>
                              </a:ln>
                            </wps:spPr>
                            <wps:txbx>
                              <w:txbxContent>
                                <w:p w14:paraId="6739247A" w14:textId="77777777" w:rsidR="00070D08" w:rsidRDefault="00070D08" w:rsidP="005C1761">
                                  <w:pPr>
                                    <w:jc w:val="center"/>
                                  </w:pPr>
                                  <w:r>
                                    <w:t>Consommer</w:t>
                                  </w:r>
                                </w:p>
                              </w:txbxContent>
                            </wps:txbx>
                            <wps:bodyPr rot="0" vert="horz" wrap="square" lIns="91440" tIns="45720" rIns="91440" bIns="45720" anchor="t" anchorCtr="0" upright="1">
                              <a:noAutofit/>
                            </wps:bodyPr>
                          </wps:wsp>
                          <wps:wsp>
                            <wps:cNvPr id="17" name="Zone de texte 44"/>
                            <wps:cNvSpPr txBox="1">
                              <a:spLocks noChangeArrowheads="1"/>
                            </wps:cNvSpPr>
                            <wps:spPr bwMode="auto">
                              <a:xfrm>
                                <a:off x="51713" y="0"/>
                                <a:ext cx="9430" cy="5524"/>
                              </a:xfrm>
                              <a:prstGeom prst="rect">
                                <a:avLst/>
                              </a:prstGeom>
                              <a:noFill/>
                              <a:ln w="6350">
                                <a:solidFill>
                                  <a:schemeClr val="accent3">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165D4F0" w14:textId="77777777" w:rsidR="00070D08" w:rsidRDefault="00070D08" w:rsidP="008520D0">
                                  <w:pPr>
                                    <w:spacing w:before="120"/>
                                    <w:jc w:val="center"/>
                                  </w:pPr>
                                  <w:r>
                                    <w:t>Jeter un minimum</w:t>
                                  </w:r>
                                </w:p>
                              </w:txbxContent>
                            </wps:txbx>
                            <wps:bodyPr rot="0" vert="horz" wrap="square" lIns="91440" tIns="45720" rIns="91440" bIns="45720" anchor="t" anchorCtr="0" upright="1">
                              <a:noAutofit/>
                            </wps:bodyPr>
                          </wps:wsp>
                          <wps:wsp>
                            <wps:cNvPr id="20" name="Ellipse 45"/>
                            <wps:cNvSpPr>
                              <a:spLocks noChangeArrowheads="1"/>
                            </wps:cNvSpPr>
                            <wps:spPr bwMode="auto">
                              <a:xfrm>
                                <a:off x="0" y="-980"/>
                                <a:ext cx="15049" cy="8190"/>
                              </a:xfrm>
                              <a:prstGeom prst="ellipse">
                                <a:avLst/>
                              </a:prstGeom>
                              <a:solidFill>
                                <a:schemeClr val="accent2">
                                  <a:lumMod val="60000"/>
                                  <a:lumOff val="40000"/>
                                </a:schemeClr>
                              </a:solidFill>
                              <a:ln w="6350">
                                <a:solidFill>
                                  <a:schemeClr val="accent2">
                                    <a:lumMod val="75000"/>
                                    <a:lumOff val="0"/>
                                  </a:schemeClr>
                                </a:solidFill>
                                <a:round/>
                                <a:headEnd/>
                                <a:tailEnd/>
                              </a:ln>
                            </wps:spPr>
                            <wps:txbx>
                              <w:txbxContent>
                                <w:p w14:paraId="5E107629" w14:textId="77777777" w:rsidR="00070D08" w:rsidRPr="00607013" w:rsidRDefault="00070D08" w:rsidP="005C1761">
                                  <w:pPr>
                                    <w:spacing w:before="0" w:after="0" w:line="240" w:lineRule="auto"/>
                                    <w:jc w:val="center"/>
                                    <w:rPr>
                                      <w:color w:val="000000" w:themeColor="text1"/>
                                    </w:rPr>
                                  </w:pPr>
                                  <w:r w:rsidRPr="00607013">
                                    <w:rPr>
                                      <w:color w:val="000000" w:themeColor="text1"/>
                                    </w:rPr>
                                    <w:t>Ressources primaires</w:t>
                                  </w:r>
                                  <w:r>
                                    <w:rPr>
                                      <w:color w:val="000000" w:themeColor="text1"/>
                                    </w:rPr>
                                    <w:t xml:space="preserve"> non énergétiques</w:t>
                                  </w:r>
                                </w:p>
                              </w:txbxContent>
                            </wps:txbx>
                            <wps:bodyPr rot="0" vert="horz" wrap="square" lIns="18000" tIns="10800" rIns="18000" bIns="36000" anchor="ctr" anchorCtr="0" upright="1">
                              <a:noAutofit/>
                            </wps:bodyPr>
                          </wps:wsp>
                          <wps:wsp>
                            <wps:cNvPr id="23" name="Connecteur droit avec flèche 46"/>
                            <wps:cNvCnPr>
                              <a:cxnSpLocks noChangeShapeType="1"/>
                            </wps:cNvCnPr>
                            <wps:spPr bwMode="auto">
                              <a:xfrm>
                                <a:off x="15137" y="2766"/>
                                <a:ext cx="2009" cy="0"/>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25" name="Connecteur droit avec flèche 47"/>
                            <wps:cNvCnPr>
                              <a:cxnSpLocks noChangeShapeType="1"/>
                            </wps:cNvCnPr>
                            <wps:spPr bwMode="auto">
                              <a:xfrm>
                                <a:off x="26663" y="2766"/>
                                <a:ext cx="2009" cy="0"/>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26" name="Connecteur droit avec flèche 48"/>
                            <wps:cNvCnPr>
                              <a:cxnSpLocks noChangeShapeType="1"/>
                            </wps:cNvCnPr>
                            <wps:spPr bwMode="auto">
                              <a:xfrm>
                                <a:off x="38189" y="2766"/>
                                <a:ext cx="2009"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27" name="Connecteur droit avec flèche 49"/>
                            <wps:cNvCnPr>
                              <a:cxnSpLocks noChangeShapeType="1"/>
                            </wps:cNvCnPr>
                            <wps:spPr bwMode="auto">
                              <a:xfrm>
                                <a:off x="49715" y="2766"/>
                                <a:ext cx="2007" cy="0"/>
                              </a:xfrm>
                              <a:prstGeom prst="straightConnector1">
                                <a:avLst/>
                              </a:prstGeom>
                              <a:noFill/>
                              <a:ln w="9525">
                                <a:solidFill>
                                  <a:schemeClr val="tx1">
                                    <a:lumMod val="100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g:grpSp>
                        <wps:wsp>
                          <wps:cNvPr id="28" name="Zone de texte 51"/>
                          <wps:cNvSpPr txBox="1">
                            <a:spLocks noChangeArrowheads="1"/>
                          </wps:cNvSpPr>
                          <wps:spPr bwMode="auto">
                            <a:xfrm>
                              <a:off x="33425" y="7607"/>
                              <a:ext cx="11680" cy="3919"/>
                            </a:xfrm>
                            <a:prstGeom prst="rect">
                              <a:avLst/>
                            </a:prstGeom>
                            <a:solidFill>
                              <a:schemeClr val="accent4">
                                <a:lumMod val="60000"/>
                                <a:lumOff val="40000"/>
                              </a:schemeClr>
                            </a:solidFill>
                            <a:ln w="6350">
                              <a:solidFill>
                                <a:schemeClr val="accent4">
                                  <a:lumMod val="75000"/>
                                  <a:lumOff val="0"/>
                                </a:schemeClr>
                              </a:solidFill>
                              <a:miter lim="800000"/>
                              <a:headEnd/>
                              <a:tailEnd/>
                            </a:ln>
                          </wps:spPr>
                          <wps:txbx>
                            <w:txbxContent>
                              <w:p w14:paraId="517FCAEE" w14:textId="77777777" w:rsidR="00070D08" w:rsidRDefault="00070D08" w:rsidP="005C1761">
                                <w:pPr>
                                  <w:spacing w:before="120"/>
                                  <w:jc w:val="center"/>
                                </w:pPr>
                                <w:r>
                                  <w:t>Recyclage</w:t>
                                </w:r>
                              </w:p>
                            </w:txbxContent>
                          </wps:txbx>
                          <wps:bodyPr rot="0" vert="horz" wrap="square" lIns="91440" tIns="45720" rIns="91440" bIns="45720" anchor="t" anchorCtr="0" upright="1">
                            <a:noAutofit/>
                          </wps:bodyPr>
                        </wps:wsp>
                        <wps:wsp>
                          <wps:cNvPr id="29" name="Connecteur droit avec flèche 55"/>
                          <wps:cNvCnPr>
                            <a:cxnSpLocks noChangeShapeType="1"/>
                          </wps:cNvCnPr>
                          <wps:spPr bwMode="auto">
                            <a:xfrm>
                              <a:off x="33271" y="5609"/>
                              <a:ext cx="1307" cy="1998"/>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s:wsp>
                          <wps:cNvPr id="30" name="Connecteur droit avec flèche 56"/>
                          <wps:cNvCnPr>
                            <a:cxnSpLocks noChangeShapeType="1"/>
                          </wps:cNvCnPr>
                          <wps:spPr bwMode="auto">
                            <a:xfrm flipH="1">
                              <a:off x="43952" y="5609"/>
                              <a:ext cx="1149" cy="199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31" name="Rectangle à coins arrondis 60"/>
                        <wps:cNvSpPr>
                          <a:spLocks noChangeArrowheads="1"/>
                        </wps:cNvSpPr>
                        <wps:spPr bwMode="auto">
                          <a:xfrm>
                            <a:off x="27355" y="0"/>
                            <a:ext cx="23280" cy="13674"/>
                          </a:xfrm>
                          <a:prstGeom prst="roundRect">
                            <a:avLst>
                              <a:gd name="adj" fmla="val 16667"/>
                            </a:avLst>
                          </a:prstGeom>
                          <a:noFill/>
                          <a:ln w="25400">
                            <a:solidFill>
                              <a:schemeClr val="accent3">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64D24" id="Groupe 61" o:spid="_x0000_s1044" style="position:absolute;left:0;text-align:left;margin-left:0;margin-top:4.3pt;width:481.4pt;height:107.65pt;z-index:251693056;mso-position-horizontal:center;mso-position-horizontal-relative:margin" coordsize="61143,13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">
                <v:group id="Groupe 58" o:spid="_x0000_s1045" style="position:absolute;top:95;width:61143;height:12506" coordorigin=",-980" coordsize="61143,125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e 40" o:spid="_x0000_s1046" style="position:absolute;top:-980;width:61143;height:8190" coordorigin=",-980" coordsize="6114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Zone de texte 41" o:spid="_x0000_s1047" type="#_x0000_t202" style="position:absolute;left:17135;width:943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6lcEA&#10;AADbAAAADwAAAGRycy9kb3ducmV2LnhtbERPTYvCMBC9C/6HMII3TVWQtZoWUQRh2cNaQbyNzdgW&#10;m0ltonb//WZhwds83ues0s7U4kmtqywrmIwjEMS51RUXCo7ZbvQBwnlkjbVlUvBDDtKk31thrO2L&#10;v+l58IUIIexiVFB638RSurwkg25sG+LAXW1r0AfYFlK3+ArhppbTKJpLgxWHhhIb2pSU3w4PoyC/&#10;fJ0/zydtZbbYb3WGc+2vd6WGg269BOGp82/xv3uvw/wZ/P0SDpDJ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EOpXBAAAA2wAAAA8AAAAAAAAAAAAAAAAAmAIAAGRycy9kb3du&#10;cmV2LnhtbFBLBQYAAAAABAAEAPUAAACGAwAAAAA=&#10;" filled="f" strokecolor="gray [1629]" strokeweight=".5pt">
                      <v:textbox>
                        <w:txbxContent>
                          <w:p w14:paraId="451C4349" w14:textId="77777777" w:rsidR="00070D08" w:rsidRDefault="00070D08" w:rsidP="005C1761">
                            <w:pPr>
                              <w:jc w:val="center"/>
                            </w:pPr>
                            <w:r>
                              <w:t>Extraire</w:t>
                            </w:r>
                          </w:p>
                        </w:txbxContent>
                      </v:textbox>
                    </v:shape>
                    <v:shape id="Zone de texte 42" o:spid="_x0000_s1048" type="#_x0000_t202" style="position:absolute;left:28661;width:943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uUMAA&#10;AADbAAAADwAAAGRycy9kb3ducmV2LnhtbERPTWsCMRC9F/wPYQRvNWuxUlajaIvSq1YEb+NmzC67&#10;mSxJ6m7/fSMI3ubxPmex6m0jbuRD5VjBZJyBIC6crtgoOP5sXz9AhIissXFMCv4owGo5eFlgrl3H&#10;e7odohEphEOOCsoY21zKUJRkMYxdS5y4q/MWY4LeSO2xS+G2kW9ZNpMWK04NJbb0WVJRH36tgvdu&#10;e5L+y0x2R1Nf6hnteHM+KTUa9us5iEh9fIof7m+d5k/h/ks6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uUMAAAADbAAAADwAAAAAAAAAAAAAAAACYAgAAZHJzL2Rvd25y&#10;ZXYueG1sUEsFBgAAAAAEAAQA9QAAAIUDAAAAAA==&#10;" fillcolor="#7dc2d3 [1940]" strokecolor="#2a6c7d [2404]" strokeweight=".5pt">
                      <v:textbox>
                        <w:txbxContent>
                          <w:p w14:paraId="1B289827" w14:textId="77777777" w:rsidR="00070D08" w:rsidRDefault="00070D08" w:rsidP="005C1761">
                            <w:pPr>
                              <w:jc w:val="center"/>
                            </w:pPr>
                            <w:r>
                              <w:t>Produire</w:t>
                            </w:r>
                          </w:p>
                        </w:txbxContent>
                      </v:textbox>
                    </v:shape>
                    <v:shape id="Zone de texte 43" o:spid="_x0000_s1049" type="#_x0000_t202" style="position:absolute;left:40187;width:943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51cAA&#10;AADbAAAADwAAAGRycy9kb3ducmV2LnhtbERPTYvCMBC9L/gfwgje1tRFRapRpIvgSdAV1NvYjG2x&#10;mdQkav33m4UFb/N4nzNbtKYWD3K+sqxg0E9AEOdWV1wo2P+sPicgfEDWWFsmBS/ysJh3PmaYavvk&#10;LT12oRAxhH2KCsoQmlRKn5dk0PdtQxy5i3UGQ4SukNrhM4abWn4lyVgarDg2lNhQVlJ+3d2Ngvaw&#10;DzfKsqGfnPX1++hGy81ppFSv2y6nIAK14S3+d691nD+Gv1/i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o51cAAAADbAAAADwAAAAAAAAAAAAAAAACYAgAAZHJzL2Rvd25y&#10;ZXYueG1sUEsFBgAAAAAEAAQA9QAAAIUDAAAAAA==&#10;" fillcolor="#8797c3 [1945]" strokecolor="#354369 [2409]" strokeweight=".5pt">
                      <v:textbox>
                        <w:txbxContent>
                          <w:p w14:paraId="6739247A" w14:textId="77777777" w:rsidR="00070D08" w:rsidRDefault="00070D08" w:rsidP="005C1761">
                            <w:pPr>
                              <w:jc w:val="center"/>
                            </w:pPr>
                            <w:r>
                              <w:t>Consommer</w:t>
                            </w:r>
                          </w:p>
                        </w:txbxContent>
                      </v:textbox>
                    </v:shape>
                    <v:shape id="Zone de texte 44" o:spid="_x0000_s1050" type="#_x0000_t202" style="position:absolute;left:51713;width:943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jWsEA&#10;AADbAAAADwAAAGRycy9kb3ducmV2LnhtbERPTWsCMRC9C/0PYQq9abYiVlajlKIg7UG6evA4bMbd&#10;4GayJKnGf98Igrd5vM9ZrJLtxIV8MI4VvI8KEMS104YbBYf9ZjgDESKyxs4xKbhRgNXyZbDAUrsr&#10;/9Klio3IIRxKVNDG2JdShroli2HkeuLMnZy3GDP0jdQerzncdnJcFFNp0XBuaLGnr5bqc/VnFexu&#10;63T47nBynKXG/xQ7s96OjVJvr+lzDiJSik/xw73Vef4H3H/J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aY1rBAAAA2wAAAA8AAAAAAAAAAAAAAAAAmAIAAGRycy9kb3du&#10;cmV2LnhtbFBLBQYAAAAABAAEAPUAAACGAwAAAAA=&#10;" filled="f" strokecolor="#912122 [2406]" strokeweight=".5pt">
                      <v:textbox>
                        <w:txbxContent>
                          <w:p w14:paraId="3165D4F0" w14:textId="77777777" w:rsidR="00070D08" w:rsidRDefault="00070D08" w:rsidP="008520D0">
                            <w:pPr>
                              <w:spacing w:before="120"/>
                              <w:jc w:val="center"/>
                            </w:pPr>
                            <w:r>
                              <w:t>Jeter un minimum</w:t>
                            </w:r>
                          </w:p>
                        </w:txbxContent>
                      </v:textbox>
                    </v:shape>
                    <v:oval id="Ellipse 45" o:spid="_x0000_s1051" style="position:absolute;top:-980;width:15049;height:8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qbwA&#10;AADbAAAADwAAAGRycy9kb3ducmV2LnhtbERPvQrCMBDeBd8hnOCmqQ4i1VhEFERRUAuuR3O2pc2l&#10;NFHr25tBcPz4/pdJZ2rxotaVlhVMxhEI4szqknMF6W03moNwHlljbZkUfMhBsur3lhhr++YLva4+&#10;FyGEXYwKCu+bWEqXFWTQjW1DHLiHbQ36ANtc6hbfIdzUchpFM2mw5NBQYEObgrLq+jQKHhXuOne0&#10;p+zefEhu0/OhtE+lhoNuvQDhqfN/8c+91wqmYX34En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4DMupvAAAANsAAAAPAAAAAAAAAAAAAAAAAJgCAABkcnMvZG93bnJldi54&#10;bWxQSwUGAAAAAAQABAD1AAAAgQMAAAAA&#10;" fillcolor="#fed36b [1941]" strokecolor="#c48b01 [2405]" strokeweight=".5pt">
                      <v:textbox inset=".5mm,.3mm,.5mm,1mm">
                        <w:txbxContent>
                          <w:p w14:paraId="5E107629" w14:textId="77777777" w:rsidR="00070D08" w:rsidRPr="00607013" w:rsidRDefault="00070D08" w:rsidP="005C1761">
                            <w:pPr>
                              <w:spacing w:before="0" w:after="0" w:line="240" w:lineRule="auto"/>
                              <w:jc w:val="center"/>
                              <w:rPr>
                                <w:color w:val="000000" w:themeColor="text1"/>
                              </w:rPr>
                            </w:pPr>
                            <w:r w:rsidRPr="00607013">
                              <w:rPr>
                                <w:color w:val="000000" w:themeColor="text1"/>
                              </w:rPr>
                              <w:t>Ressources primaires</w:t>
                            </w:r>
                            <w:r>
                              <w:rPr>
                                <w:color w:val="000000" w:themeColor="text1"/>
                              </w:rPr>
                              <w:t xml:space="preserve"> non énergétiques</w:t>
                            </w:r>
                          </w:p>
                        </w:txbxContent>
                      </v:textbox>
                    </v:oval>
                    <v:shape id="Connecteur droit avec flèche 46" o:spid="_x0000_s1052" type="#_x0000_t32" style="position:absolute;left:15137;top:2766;width:2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CLC8MAAADbAAAADwAAAGRycy9kb3ducmV2LnhtbESPT4vCMBTE74LfITzBm039Q1mrUURY&#10;EU9uV8Tjo3nblm1euk3U+u2NsOBxmJnfMMt1Z2pxo9ZVlhWMoxgEcW51xYWC0/fn6AOE88gaa8uk&#10;4EEO1qt+b4mptnf+olvmCxEg7FJUUHrfpFK6vCSDLrINcfB+bGvQB9kWUrd4D3BTy0kcJ9JgxWGh&#10;xIa2JeW/2dUoaI6XLJkljwPP6930r9oez/O8UGo46DYLEJ46/w7/t/dawWQKry/h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7giwvDAAAA2wAAAA8AAAAAAAAAAAAA&#10;AAAAoQIAAGRycy9kb3ducmV2LnhtbFBLBQYAAAAABAAEAPkAAACRAwAAAAA=&#10;" strokecolor="black [3213]">
                      <v:stroke dashstyle="dash" endarrow="block"/>
                    </v:shape>
                    <v:shape id="Connecteur droit avec flèche 47" o:spid="_x0000_s1053" type="#_x0000_t32" style="position:absolute;left:26663;top:2766;width:2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25MUAAADbAAAADwAAAGRycy9kb3ducmV2LnhtbESPT2vCQBTE70K/w/IKvemmtoYaXaUE&#10;WoonjUU8PrLPJDT7Ns1u8+fbdwXB4zAzv2HW28HUoqPWVZYVPM8iEMS51RUXCr6PH9M3EM4ja6wt&#10;k4KRHGw3D5M1Jtr2fKAu84UIEHYJKii9bxIpXV6SQTezDXHwLrY16INsC6lb7APc1HIeRbE0WHFY&#10;KLGhtKT8J/szCpr9OYtf43HHy/rz5bdK96dlXij19Di8r0B4Gvw9fGt/aQXzBVy/h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W25MUAAADbAAAADwAAAAAAAAAA&#10;AAAAAAChAgAAZHJzL2Rvd25yZXYueG1sUEsFBgAAAAAEAAQA+QAAAJMDAAAAAA==&#10;" strokecolor="black [3213]">
                      <v:stroke dashstyle="dash" endarrow="block"/>
                    </v:shape>
                    <v:shape id="Connecteur droit avec flèche 48" o:spid="_x0000_s1054" type="#_x0000_t32" style="position:absolute;left:38189;top:2766;width:20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xcQAAADbAAAADwAAAGRycy9kb3ducmV2LnhtbESPQWsCMRSE7wX/Q3iCt5rVg5TVKFUp&#10;FE92bZHeHpvXzdbNy5rE3fXfN4VCj8PMfMOsNoNtREc+1I4VzKYZCOLS6ZorBe+nl8cnECEia2wc&#10;k4I7BdisRw8rzLXr+Y26IlYiQTjkqMDE2OZShtKQxTB1LXHyvpy3GJP0ldQe+wS3jZxn2UJarDkt&#10;GGxpZ6i8FDeroOkO/fXj9n01+2N3KnbnT7P1rVKT8fC8BBFpiP/hv/arVjBf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FxAAAANsAAAAPAAAAAAAAAAAA&#10;AAAAAKECAABkcnMvZG93bnJldi54bWxQSwUGAAAAAAQABAD5AAAAkgMAAAAA&#10;" strokecolor="black [3213]">
                      <v:stroke endarrow="block"/>
                    </v:shape>
                    <v:shape id="Connecteur droit avec flèche 49" o:spid="_x0000_s1055" type="#_x0000_t32" style="position:absolute;left:49715;top:2766;width:20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NCMQAAADbAAAADwAAAGRycy9kb3ducmV2LnhtbESPT4vCMBTE7wt+h/AEb2vqH6p2jSKC&#10;Ip60yrLHR/O2LTYvtYlav70RFvY4zMxvmPmyNZW4U+NKywoG/QgEcWZ1ybmC82nzOQXhPLLGyjIp&#10;eJKD5aLzMcdE2wcf6Z76XAQIuwQVFN7XiZQuK8ig69uaOHi/tjHog2xyqRt8BLip5DCKYmmw5LBQ&#10;YE3rgrJLejMK6sNPGo/j555n1XZ0LdeH71mWK9XrtqsvEJ5a/x/+a++0guEE3l/CD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240IxAAAANsAAAAPAAAAAAAAAAAA&#10;AAAAAKECAABkcnMvZG93bnJldi54bWxQSwUGAAAAAAQABAD5AAAAkgMAAAAA&#10;" strokecolor="black [3213]">
                      <v:stroke dashstyle="dash" endarrow="block"/>
                    </v:shape>
                  </v:group>
                  <v:shape id="Zone de texte 51" o:spid="_x0000_s1056" type="#_x0000_t202" style="position:absolute;left:33425;top:7607;width:11680;height:3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ZNsIA&#10;AADbAAAADwAAAGRycy9kb3ducmV2LnhtbERPy2rCQBTdF/oPwy1010y0EGp0FB+ISkFoqvtL5ppE&#10;M3dCZvLo33cWhS4P571YjaYWPbWusqxgEsUgiHOrKy4UXL73bx8gnEfWWFsmBT/kYLV8flpgqu3A&#10;X9RnvhAhhF2KCkrvm1RKl5dk0EW2IQ7czbYGfYBtIXWLQwg3tZzGcSINVhwaSmxoW1L+yDqjIBk+&#10;N6fu/bq7b4vzbLbvH6fDOlbq9WVcz0F4Gv2/+M991AqmYWz4E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tk2wgAAANsAAAAPAAAAAAAAAAAAAAAAAJgCAABkcnMvZG93&#10;bnJldi54bWxQSwUGAAAAAAQABAD1AAAAhwMAAAAA&#10;" fillcolor="#b8d779 [1943]" strokecolor="#627f26 [2407]" strokeweight=".5pt">
                    <v:textbox>
                      <w:txbxContent>
                        <w:p w14:paraId="517FCAEE" w14:textId="77777777" w:rsidR="00070D08" w:rsidRDefault="00070D08" w:rsidP="005C1761">
                          <w:pPr>
                            <w:spacing w:before="120"/>
                            <w:jc w:val="center"/>
                          </w:pPr>
                          <w:r>
                            <w:t>Recyclage</w:t>
                          </w:r>
                        </w:p>
                      </w:txbxContent>
                    </v:textbox>
                  </v:shape>
                  <v:shape id="Connecteur droit avec flèche 55" o:spid="_x0000_s1057" type="#_x0000_t32" style="position:absolute;left:33271;top:5609;width:1307;height:19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gaR8UAAADbAAAADwAAAGRycy9kb3ducmV2LnhtbESPS2vCQBSF9wX/w3CF7upEg4+kGUWE&#10;PkA3aqG4u2Zuk2DmTsiMMf33jlDo8nAeHydb9aYWHbWusqxgPIpAEOdWV1wo+Dq+vSxAOI+ssbZM&#10;Cn7JwWo5eMow1fbGe+oOvhBhhF2KCkrvm1RKl5dk0I1sQxy8H9sa9EG2hdQt3sK4qeUkimbSYMWB&#10;UGJDm5Lyy+FqApc+4vn59N5dN9/TaRzvkvX2qJV6HvbrVxCeev8f/mt/agWTBB5fw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gaR8UAAADbAAAADwAAAAAAAAAA&#10;AAAAAAChAgAAZHJzL2Rvd25yZXYueG1sUEsFBgAAAAAEAAQA+QAAAJMDAAAAAA==&#10;" strokecolor="black [3213]">
                    <v:stroke startarrow="block"/>
                  </v:shape>
                  <v:shape id="Connecteur droit avec flèche 56" o:spid="_x0000_s1058" type="#_x0000_t32" style="position:absolute;left:43952;top:5609;width:1149;height:199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dEb8AAADbAAAADwAAAGRycy9kb3ducmV2LnhtbERPTYvCMBC9C/6HMII3TVVYtRpFBF31&#10;ZhXU29CMbbGZlCZq999vDoLHx/ueLxtTihfVrrCsYNCPQBCnVhecKTifNr0JCOeRNZaWScEfOVgu&#10;2q05xtq++UivxGcihLCLUUHufRVL6dKcDLq+rYgDd7e1QR9gnUld4zuEm1IOo+hHGiw4NORY0Tqn&#10;9JE8jYKxvPxGk3Q3HExH5+ttndj9YWuV6naa1QyEp8Z/xR/3TisYhfXhS/gB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8dEb8AAADbAAAADwAAAAAAAAAAAAAAAACh&#10;AgAAZHJzL2Rvd25yZXYueG1sUEsFBgAAAAAEAAQA+QAAAI0DAAAAAA==&#10;" strokecolor="black [3213]">
                    <v:stroke endarrow="block"/>
                  </v:shape>
                </v:group>
                <v:roundrect id="Rectangle à coins arrondis 60" o:spid="_x0000_s1059" style="position:absolute;left:27355;width:23280;height:136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EX8QA&#10;AADbAAAADwAAAGRycy9kb3ducmV2LnhtbESPT2vCQBTE70K/w/IKvekmFYqkrtI/BHuqGoV6fGSf&#10;SUj2bZrdxPTbdwXB4zAzv2GW69E0YqDOVZYVxLMIBHFudcWFguMhnS5AOI+ssbFMCv7IwXr1MFli&#10;ou2F9zRkvhABwi5BBaX3bSKly0sy6Ga2JQ7e2XYGfZBdIXWHlwA3jXyOohdpsOKwUGJLHyXlddYb&#10;BfnnNnX7X3qvhw3x7uf0fTwUvVJPj+PbKwhPo7+Hb+0vrWAew/VL+A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BF/EAAAA2wAAAA8AAAAAAAAAAAAAAAAAmAIAAGRycy9k&#10;b3ducmV2LnhtbFBLBQYAAAAABAAEAPUAAACJAwAAAAA=&#10;" filled="f" strokecolor="#c32d2e [3206]" strokeweight="2pt"/>
                <w10:wrap anchorx="margin"/>
              </v:group>
            </w:pict>
          </mc:Fallback>
        </mc:AlternateContent>
      </w:r>
    </w:p>
    <w:p w14:paraId="60A532AE" w14:textId="77777777" w:rsidR="005C1761" w:rsidRDefault="005C1761" w:rsidP="005C1761">
      <w:pPr>
        <w:rPr>
          <w:rFonts w:cs="CMR10"/>
        </w:rPr>
      </w:pPr>
    </w:p>
    <w:p w14:paraId="3C962151" w14:textId="77777777" w:rsidR="005C1761" w:rsidRDefault="005C1761" w:rsidP="005D6F52">
      <w:pPr>
        <w:spacing w:before="360"/>
        <w:rPr>
          <w:rFonts w:cs="CMR10"/>
        </w:rPr>
      </w:pPr>
    </w:p>
    <w:p w14:paraId="6688EDAD" w14:textId="77777777" w:rsidR="005C1761" w:rsidRDefault="005C1761" w:rsidP="005D6F52">
      <w:pPr>
        <w:spacing w:before="360"/>
        <w:rPr>
          <w:rFonts w:cs="CMR10"/>
        </w:rPr>
      </w:pPr>
    </w:p>
    <w:p w14:paraId="2E12EA1A" w14:textId="77777777" w:rsidR="005C1761" w:rsidRDefault="005C1761" w:rsidP="00863BD5">
      <w:pPr>
        <w:pStyle w:val="Lgende"/>
        <w:spacing w:before="360"/>
        <w:rPr>
          <w:rFonts w:cs="CMR10"/>
        </w:rPr>
      </w:pPr>
      <w:r>
        <w:t xml:space="preserve">Figure </w:t>
      </w:r>
      <w:r w:rsidR="009E14BA">
        <w:rPr>
          <w:noProof/>
        </w:rPr>
        <w:fldChar w:fldCharType="begin"/>
      </w:r>
      <w:r w:rsidR="00F473E7">
        <w:rPr>
          <w:noProof/>
        </w:rPr>
        <w:instrText xml:space="preserve"> SEQ Figure \* ARABIC </w:instrText>
      </w:r>
      <w:r w:rsidR="009E14BA">
        <w:rPr>
          <w:noProof/>
        </w:rPr>
        <w:fldChar w:fldCharType="separate"/>
      </w:r>
      <w:r w:rsidR="00C64908">
        <w:rPr>
          <w:noProof/>
        </w:rPr>
        <w:t>12</w:t>
      </w:r>
      <w:r w:rsidR="009E14BA">
        <w:rPr>
          <w:noProof/>
        </w:rPr>
        <w:fldChar w:fldCharType="end"/>
      </w:r>
      <w:r>
        <w:t> : Schématisation du modèle économique circulaire</w:t>
      </w:r>
    </w:p>
    <w:p w14:paraId="26ABC2A3" w14:textId="77777777" w:rsidR="001422FF" w:rsidRDefault="005666E1" w:rsidP="00ED1811">
      <w:pPr>
        <w:pStyle w:val="Titre2"/>
        <w:spacing w:before="240"/>
      </w:pPr>
      <w:r>
        <w:t>5.1 – Recyclage des matériaux, où</w:t>
      </w:r>
      <w:r w:rsidR="00521B7A">
        <w:t xml:space="preserve"> en</w:t>
      </w:r>
      <w:r>
        <w:t xml:space="preserve"> est-on ?</w:t>
      </w:r>
    </w:p>
    <w:p w14:paraId="26569CDE" w14:textId="77777777" w:rsidR="00A452BC" w:rsidRDefault="005F16A5" w:rsidP="005F16A5">
      <w:r>
        <w:t>Le recyclage des matériaux inclu</w:t>
      </w:r>
      <w:r w:rsidR="0099296E">
        <w:t>t</w:t>
      </w:r>
      <w:r>
        <w:t xml:space="preserve"> trois phases</w:t>
      </w:r>
      <w:r w:rsidR="002A12FE">
        <w:t> : l</w:t>
      </w:r>
      <w:r>
        <w:t>a collecte de</w:t>
      </w:r>
      <w:r w:rsidR="0099296E">
        <w:t>s</w:t>
      </w:r>
      <w:r>
        <w:t xml:space="preserve"> </w:t>
      </w:r>
      <w:r w:rsidR="0099296E">
        <w:t xml:space="preserve">objets en fin de vie </w:t>
      </w:r>
      <w:r>
        <w:t>auprès des particuliers et des entreprises (</w:t>
      </w:r>
      <w:r w:rsidR="0099296E">
        <w:t>en incluant les</w:t>
      </w:r>
      <w:r w:rsidR="002A12FE">
        <w:t xml:space="preserve"> </w:t>
      </w:r>
      <w:r w:rsidR="0099296E">
        <w:t xml:space="preserve">résidus </w:t>
      </w:r>
      <w:r>
        <w:t>de production)</w:t>
      </w:r>
      <w:r w:rsidR="002A12FE">
        <w:t> ; l</w:t>
      </w:r>
      <w:r>
        <w:t xml:space="preserve">e traitement des </w:t>
      </w:r>
      <w:r w:rsidR="0099296E">
        <w:t>objets en fin de vie</w:t>
      </w:r>
      <w:r>
        <w:t>, c’est-à-dire le</w:t>
      </w:r>
      <w:r w:rsidR="0099296E">
        <w:t>ur</w:t>
      </w:r>
      <w:r>
        <w:t xml:space="preserve"> démantèlement, </w:t>
      </w:r>
      <w:r w:rsidR="0099296E">
        <w:t xml:space="preserve">la séparation et </w:t>
      </w:r>
      <w:r>
        <w:t xml:space="preserve">le tri des matériaux, </w:t>
      </w:r>
      <w:r w:rsidR="0042094B">
        <w:t>l’</w:t>
      </w:r>
      <w:r>
        <w:t>extraction</w:t>
      </w:r>
      <w:r w:rsidR="0042094B">
        <w:t xml:space="preserve"> de matières première</w:t>
      </w:r>
      <w:r w:rsidR="00EF03F5">
        <w:t xml:space="preserve"> purifiées</w:t>
      </w:r>
      <w:r w:rsidR="00EF03F5">
        <w:rPr>
          <w:rStyle w:val="Marquedecommentaire"/>
        </w:rPr>
        <w:t>,</w:t>
      </w:r>
      <w:r w:rsidR="002A12FE">
        <w:t xml:space="preserve"> e</w:t>
      </w:r>
      <w:r>
        <w:t xml:space="preserve">t enfin </w:t>
      </w:r>
      <w:r w:rsidR="00AA30B7">
        <w:t>la mise sur le marché</w:t>
      </w:r>
      <w:r>
        <w:t xml:space="preserve"> des matières première</w:t>
      </w:r>
      <w:r w:rsidR="00A452BC">
        <w:t xml:space="preserve">s </w:t>
      </w:r>
      <w:r w:rsidR="00AA30B7">
        <w:t>issues du</w:t>
      </w:r>
      <w:r w:rsidR="00A452BC">
        <w:t xml:space="preserve"> recyclage (MPR).</w:t>
      </w:r>
    </w:p>
    <w:p w14:paraId="63CCA638" w14:textId="77777777" w:rsidR="007D5001" w:rsidRPr="005F16A5" w:rsidRDefault="00AA7C52" w:rsidP="005F16A5">
      <w:r w:rsidDel="00AA7C52">
        <w:t xml:space="preserve"> </w:t>
      </w:r>
      <w:r w:rsidR="007D5001">
        <w:t xml:space="preserve">« Le meilleur déchet est celui qui n’a pas été produit ». </w:t>
      </w:r>
      <w:r>
        <w:t>P</w:t>
      </w:r>
      <w:r w:rsidR="007D5001">
        <w:t>artant de cette idée, la sobriété pourrait commencer par l’utilisation au maximum de leur durée de vie de</w:t>
      </w:r>
      <w:r w:rsidR="00773BDE">
        <w:t>s</w:t>
      </w:r>
      <w:r w:rsidR="007D5001">
        <w:t xml:space="preserve"> équipement</w:t>
      </w:r>
      <w:r w:rsidR="00773BDE">
        <w:t>s</w:t>
      </w:r>
      <w:r w:rsidR="00FB6AD1">
        <w:t xml:space="preserve">, tenter d’éviter les renouvellements </w:t>
      </w:r>
      <w:r w:rsidR="00773BDE">
        <w:t xml:space="preserve">trop fréquents </w:t>
      </w:r>
      <w:r w:rsidR="00FB6AD1">
        <w:t>d’équipement</w:t>
      </w:r>
      <w:r w:rsidR="00773BDE">
        <w:t xml:space="preserve"> encore fonctionnels pour une version plus récente.</w:t>
      </w:r>
    </w:p>
    <w:p w14:paraId="3D11ADAD" w14:textId="77777777" w:rsidR="00280EB6" w:rsidRDefault="0053286A" w:rsidP="00756BAD">
      <w:r>
        <w:t xml:space="preserve">En </w:t>
      </w:r>
      <w:r w:rsidR="00A33ACE">
        <w:t xml:space="preserve">France en </w:t>
      </w:r>
      <w:r>
        <w:t xml:space="preserve">2017, </w:t>
      </w:r>
      <w:r w:rsidR="00AA7C52">
        <w:t xml:space="preserve">sur les </w:t>
      </w:r>
      <w:r>
        <w:t xml:space="preserve">72 Mt de déchets </w:t>
      </w:r>
      <w:r w:rsidR="00AA7C52">
        <w:t xml:space="preserve">collectées </w:t>
      </w:r>
      <w:r w:rsidR="007D5001">
        <w:t>en vue du recyclage</w:t>
      </w:r>
      <w:r>
        <w:t>, 63 Mt de matières premières de recyclage ont été effectivement incorporées dans la production</w:t>
      </w:r>
      <w:r w:rsidR="008B5E48">
        <w:t xml:space="preserve"> [1</w:t>
      </w:r>
      <w:r w:rsidR="00AA7C52">
        <w:t>9</w:t>
      </w:r>
      <w:r w:rsidR="008B5E48">
        <w:t>]</w:t>
      </w:r>
      <w:r>
        <w:t>.</w:t>
      </w:r>
      <w:r w:rsidR="003F296A">
        <w:t xml:space="preserve"> Le tableau 3</w:t>
      </w:r>
      <w:r>
        <w:t xml:space="preserve"> </w:t>
      </w:r>
      <w:r w:rsidR="003F296A">
        <w:t>permet de visualiser quelques exemples chiffrés de matériaux recyclés</w:t>
      </w:r>
      <w:r w:rsidR="005B7DD2">
        <w:t>, leurs masses collectées</w:t>
      </w:r>
      <w:r w:rsidR="008B5E48">
        <w:t xml:space="preserve"> et des exemples de réutilisation</w:t>
      </w:r>
      <w:r w:rsidR="003F296A">
        <w:t xml:space="preserve">. </w:t>
      </w:r>
      <w:r>
        <w:t>L’ADEME estime que cela a</w:t>
      </w:r>
      <w:r w:rsidR="000C099F">
        <w:t>vait</w:t>
      </w:r>
      <w:r>
        <w:t xml:space="preserve"> permis </w:t>
      </w:r>
      <w:r w:rsidR="000C099F">
        <w:t xml:space="preserve">d’éviter </w:t>
      </w:r>
      <w:r>
        <w:t>39</w:t>
      </w:r>
      <w:r w:rsidR="000C099F">
        <w:t> </w:t>
      </w:r>
      <w:r>
        <w:t>T</w:t>
      </w:r>
      <w:r w:rsidR="00B6796B">
        <w:t>W</w:t>
      </w:r>
      <w:r>
        <w:t>h de consommation d’énergie</w:t>
      </w:r>
      <w:r w:rsidR="00FE30B8">
        <w:t xml:space="preserve"> finale</w:t>
      </w:r>
      <w:r w:rsidR="005F16A5">
        <w:t>,</w:t>
      </w:r>
      <w:r>
        <w:t xml:space="preserve"> en plus de matières premières non extraites</w:t>
      </w:r>
      <w:r w:rsidR="005F16A5">
        <w:t>, ce qui correspond à la consommation annuelle d’énergie de 0,9 million de français</w:t>
      </w:r>
      <w:r>
        <w:t>.</w:t>
      </w:r>
      <w:r w:rsidR="00C20BAA">
        <w:t xml:space="preserve"> Notons qu’en 2017, les ménages avai</w:t>
      </w:r>
      <w:r w:rsidR="00FE30B8">
        <w:t>en</w:t>
      </w:r>
      <w:r w:rsidR="00C20BAA">
        <w:t>t produit 39 Mt de déchets</w:t>
      </w:r>
      <w:r w:rsidR="003F296A">
        <w:t xml:space="preserve"> recyclables ou non</w:t>
      </w:r>
      <w:r w:rsidR="00C20BAA">
        <w:t>, les entreprises 63 Mt et le secteur construction 224 Mt [</w:t>
      </w:r>
      <w:r w:rsidR="00863BD5">
        <w:t>20</w:t>
      </w:r>
      <w:r w:rsidR="00C20BAA">
        <w:t>].</w:t>
      </w:r>
      <w:r w:rsidR="003F296A">
        <w:t xml:space="preserve"> Soit 326 Mt de déchets dont seules 72 Mt ont été collectées en vue de recyclage (environ 22%).</w:t>
      </w:r>
    </w:p>
    <w:tbl>
      <w:tblPr>
        <w:tblStyle w:val="Grilledutableau"/>
        <w:tblW w:w="10632" w:type="dxa"/>
        <w:tblInd w:w="-431" w:type="dxa"/>
        <w:tblLook w:val="04A0" w:firstRow="1" w:lastRow="0" w:firstColumn="1" w:lastColumn="0" w:noHBand="0" w:noVBand="1"/>
      </w:tblPr>
      <w:tblGrid>
        <w:gridCol w:w="1271"/>
        <w:gridCol w:w="3266"/>
        <w:gridCol w:w="2101"/>
        <w:gridCol w:w="3994"/>
      </w:tblGrid>
      <w:tr w:rsidR="007B2F2A" w:rsidRPr="00290A6E" w14:paraId="6B0E13B1" w14:textId="77777777" w:rsidTr="00335301">
        <w:tc>
          <w:tcPr>
            <w:tcW w:w="1271" w:type="dxa"/>
            <w:shd w:val="clear" w:color="auto" w:fill="D3EAF0" w:themeFill="accent1" w:themeFillTint="33"/>
            <w:vAlign w:val="center"/>
          </w:tcPr>
          <w:p w14:paraId="6A409EEF" w14:textId="77777777" w:rsidR="007B2F2A" w:rsidRPr="00290A6E" w:rsidRDefault="007B2F2A" w:rsidP="00E62E28">
            <w:pPr>
              <w:spacing w:before="40" w:after="40"/>
              <w:jc w:val="center"/>
              <w:rPr>
                <w:b/>
              </w:rPr>
            </w:pPr>
            <w:r w:rsidRPr="00290A6E">
              <w:rPr>
                <w:b/>
              </w:rPr>
              <w:t>Matières</w:t>
            </w:r>
          </w:p>
        </w:tc>
        <w:tc>
          <w:tcPr>
            <w:tcW w:w="3266" w:type="dxa"/>
            <w:shd w:val="clear" w:color="auto" w:fill="D3EAF0" w:themeFill="accent1" w:themeFillTint="33"/>
            <w:vAlign w:val="center"/>
          </w:tcPr>
          <w:p w14:paraId="4C1E35E7" w14:textId="77777777" w:rsidR="007B2F2A" w:rsidRPr="00290A6E" w:rsidRDefault="007B2F2A" w:rsidP="00E62E28">
            <w:pPr>
              <w:spacing w:before="40" w:after="40"/>
              <w:jc w:val="center"/>
              <w:rPr>
                <w:b/>
              </w:rPr>
            </w:pPr>
            <w:r w:rsidRPr="00290A6E">
              <w:rPr>
                <w:b/>
              </w:rPr>
              <w:t>Issues de</w:t>
            </w:r>
          </w:p>
        </w:tc>
        <w:tc>
          <w:tcPr>
            <w:tcW w:w="2101" w:type="dxa"/>
            <w:shd w:val="clear" w:color="auto" w:fill="D3EAF0" w:themeFill="accent1" w:themeFillTint="33"/>
            <w:vAlign w:val="center"/>
          </w:tcPr>
          <w:p w14:paraId="3E06BB28" w14:textId="77777777" w:rsidR="007B2F2A" w:rsidRPr="00290A6E" w:rsidRDefault="007B2F2A" w:rsidP="00863BD5">
            <w:pPr>
              <w:spacing w:before="60" w:after="60"/>
              <w:jc w:val="center"/>
              <w:rPr>
                <w:b/>
              </w:rPr>
            </w:pPr>
            <w:r w:rsidRPr="00290A6E">
              <w:rPr>
                <w:b/>
              </w:rPr>
              <w:t>Masses collectées</w:t>
            </w:r>
            <w:r w:rsidR="00A452BC">
              <w:rPr>
                <w:b/>
              </w:rPr>
              <w:t xml:space="preserve"> en 2017</w:t>
            </w:r>
          </w:p>
        </w:tc>
        <w:tc>
          <w:tcPr>
            <w:tcW w:w="3994" w:type="dxa"/>
            <w:shd w:val="clear" w:color="auto" w:fill="D3EAF0" w:themeFill="accent1" w:themeFillTint="33"/>
            <w:vAlign w:val="center"/>
          </w:tcPr>
          <w:p w14:paraId="2346B803" w14:textId="77777777" w:rsidR="007B2F2A" w:rsidRPr="00290A6E" w:rsidRDefault="007B2F2A" w:rsidP="00E62E28">
            <w:pPr>
              <w:spacing w:before="40" w:after="40"/>
              <w:jc w:val="center"/>
              <w:rPr>
                <w:b/>
              </w:rPr>
            </w:pPr>
            <w:r w:rsidRPr="00290A6E">
              <w:rPr>
                <w:b/>
              </w:rPr>
              <w:t>Exemple de réutilisation</w:t>
            </w:r>
          </w:p>
        </w:tc>
      </w:tr>
      <w:tr w:rsidR="007B2F2A" w14:paraId="3DC433BF" w14:textId="77777777" w:rsidTr="00335301">
        <w:tc>
          <w:tcPr>
            <w:tcW w:w="1271" w:type="dxa"/>
            <w:vAlign w:val="center"/>
          </w:tcPr>
          <w:p w14:paraId="16166DE1" w14:textId="77777777" w:rsidR="007B2F2A" w:rsidRDefault="007B2F2A" w:rsidP="00E62E28">
            <w:pPr>
              <w:spacing w:before="40" w:after="40"/>
              <w:jc w:val="center"/>
            </w:pPr>
            <w:r>
              <w:t>Métaux ferreux</w:t>
            </w:r>
          </w:p>
        </w:tc>
        <w:tc>
          <w:tcPr>
            <w:tcW w:w="3266" w:type="dxa"/>
            <w:vAlign w:val="center"/>
          </w:tcPr>
          <w:p w14:paraId="75821EE3" w14:textId="77777777" w:rsidR="007B2F2A" w:rsidRDefault="007B2F2A" w:rsidP="00E62E28">
            <w:pPr>
              <w:spacing w:before="40" w:after="40"/>
              <w:jc w:val="center"/>
            </w:pPr>
            <w:r>
              <w:t>Boites de conserve, épaves automobiles, électroménagers</w:t>
            </w:r>
            <w:r w:rsidR="00E62E28">
              <w:t xml:space="preserve"> hors d’usage</w:t>
            </w:r>
            <w:r>
              <w:t>, etc.</w:t>
            </w:r>
          </w:p>
        </w:tc>
        <w:tc>
          <w:tcPr>
            <w:tcW w:w="2101" w:type="dxa"/>
            <w:vAlign w:val="center"/>
          </w:tcPr>
          <w:p w14:paraId="1BE7D59D" w14:textId="77777777" w:rsidR="007B2F2A" w:rsidRDefault="007B2F2A" w:rsidP="00E62E28">
            <w:pPr>
              <w:spacing w:before="40" w:after="40"/>
              <w:jc w:val="center"/>
            </w:pPr>
            <w:r>
              <w:t>12,6 Mt</w:t>
            </w:r>
          </w:p>
        </w:tc>
        <w:tc>
          <w:tcPr>
            <w:tcW w:w="3994" w:type="dxa"/>
            <w:vAlign w:val="center"/>
          </w:tcPr>
          <w:p w14:paraId="27FAB849" w14:textId="77777777" w:rsidR="00E62E28" w:rsidRDefault="00E62E28" w:rsidP="00E62E28">
            <w:pPr>
              <w:spacing w:before="40" w:after="40"/>
              <w:jc w:val="center"/>
            </w:pPr>
            <w:r>
              <w:t>Les p</w:t>
            </w:r>
            <w:r w:rsidR="007B2F2A">
              <w:t>roduction</w:t>
            </w:r>
            <w:r>
              <w:t>s</w:t>
            </w:r>
            <w:r w:rsidR="007B2F2A">
              <w:t xml:space="preserve"> </w:t>
            </w:r>
            <w:r>
              <w:t>d’</w:t>
            </w:r>
            <w:r w:rsidR="007B2F2A">
              <w:t xml:space="preserve">acier brut et </w:t>
            </w:r>
            <w:r>
              <w:t xml:space="preserve">de </w:t>
            </w:r>
            <w:r w:rsidR="007B2F2A">
              <w:t>fonte</w:t>
            </w:r>
            <w:r>
              <w:t xml:space="preserve"> contiennent 49% de MPR, soit</w:t>
            </w:r>
          </w:p>
          <w:p w14:paraId="587C9099" w14:textId="77777777" w:rsidR="007B2F2A" w:rsidRDefault="00E62E28" w:rsidP="00E62E28">
            <w:pPr>
              <w:spacing w:before="40" w:after="40"/>
              <w:jc w:val="center"/>
            </w:pPr>
            <w:r>
              <w:t>8,3 Mt utilisées en sidérurgie.</w:t>
            </w:r>
          </w:p>
        </w:tc>
      </w:tr>
      <w:tr w:rsidR="007B2F2A" w14:paraId="4B7FBEB3" w14:textId="77777777" w:rsidTr="00335301">
        <w:tc>
          <w:tcPr>
            <w:tcW w:w="1271" w:type="dxa"/>
            <w:vAlign w:val="center"/>
          </w:tcPr>
          <w:p w14:paraId="2B01EB06" w14:textId="77777777" w:rsidR="007B2F2A" w:rsidRDefault="00E62E28" w:rsidP="00E62E28">
            <w:pPr>
              <w:spacing w:before="40" w:after="40"/>
              <w:jc w:val="center"/>
            </w:pPr>
            <w:r>
              <w:t>Aluminium</w:t>
            </w:r>
          </w:p>
        </w:tc>
        <w:tc>
          <w:tcPr>
            <w:tcW w:w="3266" w:type="dxa"/>
            <w:vAlign w:val="center"/>
          </w:tcPr>
          <w:p w14:paraId="03A20758" w14:textId="77777777" w:rsidR="007B2F2A" w:rsidRDefault="00E62E28" w:rsidP="00E62E28">
            <w:pPr>
              <w:spacing w:before="40" w:after="40"/>
              <w:jc w:val="center"/>
            </w:pPr>
            <w:r>
              <w:t>Cannettes, carrosseries de Véhicules hors d’usage, cadres de fenêtre, etc.</w:t>
            </w:r>
          </w:p>
        </w:tc>
        <w:tc>
          <w:tcPr>
            <w:tcW w:w="2101" w:type="dxa"/>
            <w:vAlign w:val="center"/>
          </w:tcPr>
          <w:p w14:paraId="7A007D5A" w14:textId="77777777" w:rsidR="007B2F2A" w:rsidRDefault="00E62E28" w:rsidP="00E62E28">
            <w:pPr>
              <w:spacing w:before="40" w:after="40"/>
              <w:jc w:val="center"/>
            </w:pPr>
            <w:r>
              <w:t xml:space="preserve">690 </w:t>
            </w:r>
            <w:proofErr w:type="spellStart"/>
            <w:r>
              <w:t>kt</w:t>
            </w:r>
            <w:proofErr w:type="spellEnd"/>
          </w:p>
        </w:tc>
        <w:tc>
          <w:tcPr>
            <w:tcW w:w="3994" w:type="dxa"/>
            <w:vAlign w:val="center"/>
          </w:tcPr>
          <w:p w14:paraId="7FD5E359" w14:textId="77777777" w:rsidR="007B2F2A" w:rsidRDefault="00E62E28" w:rsidP="00E62E28">
            <w:pPr>
              <w:spacing w:before="40" w:after="40"/>
              <w:jc w:val="center"/>
            </w:pPr>
            <w:r>
              <w:t xml:space="preserve">Les produits en aluminium fabriqués en France contiennent 53% de matière recyclées, soit 509 </w:t>
            </w:r>
            <w:proofErr w:type="spellStart"/>
            <w:r>
              <w:t>kt</w:t>
            </w:r>
            <w:proofErr w:type="spellEnd"/>
            <w:r>
              <w:t>.</w:t>
            </w:r>
          </w:p>
        </w:tc>
      </w:tr>
      <w:tr w:rsidR="007B2F2A" w14:paraId="2144F0BC" w14:textId="77777777" w:rsidTr="00335301">
        <w:tc>
          <w:tcPr>
            <w:tcW w:w="1271" w:type="dxa"/>
            <w:vAlign w:val="center"/>
          </w:tcPr>
          <w:p w14:paraId="7EC3AC1F" w14:textId="77777777" w:rsidR="007B2F2A" w:rsidRDefault="00E62E28" w:rsidP="00E62E28">
            <w:pPr>
              <w:spacing w:before="40" w:after="40"/>
              <w:jc w:val="center"/>
            </w:pPr>
            <w:r>
              <w:lastRenderedPageBreak/>
              <w:t>Cuivre</w:t>
            </w:r>
          </w:p>
        </w:tc>
        <w:tc>
          <w:tcPr>
            <w:tcW w:w="3266" w:type="dxa"/>
            <w:vAlign w:val="center"/>
          </w:tcPr>
          <w:p w14:paraId="33AF0BF6" w14:textId="77777777" w:rsidR="007B2F2A" w:rsidRDefault="00E62E28" w:rsidP="00E62E28">
            <w:pPr>
              <w:spacing w:before="40" w:after="40"/>
              <w:jc w:val="center"/>
            </w:pPr>
            <w:r>
              <w:t>Câbles électriques (pour près de la moitié), gouttières, tubes pour plomberie, etc.</w:t>
            </w:r>
          </w:p>
        </w:tc>
        <w:tc>
          <w:tcPr>
            <w:tcW w:w="2101" w:type="dxa"/>
            <w:vAlign w:val="center"/>
          </w:tcPr>
          <w:p w14:paraId="5D6AA904" w14:textId="77777777" w:rsidR="007B2F2A" w:rsidRDefault="00E62E28" w:rsidP="00E62E28">
            <w:pPr>
              <w:spacing w:before="40" w:after="40"/>
              <w:jc w:val="center"/>
            </w:pPr>
            <w:r>
              <w:t xml:space="preserve">236 </w:t>
            </w:r>
            <w:proofErr w:type="spellStart"/>
            <w:r>
              <w:t>kt</w:t>
            </w:r>
            <w:proofErr w:type="spellEnd"/>
          </w:p>
        </w:tc>
        <w:tc>
          <w:tcPr>
            <w:tcW w:w="3994" w:type="dxa"/>
            <w:vAlign w:val="center"/>
          </w:tcPr>
          <w:p w14:paraId="5FE2F7AF" w14:textId="77777777" w:rsidR="007B2F2A" w:rsidRDefault="00E62E28" w:rsidP="00290A6E">
            <w:pPr>
              <w:spacing w:before="40" w:after="40"/>
              <w:jc w:val="center"/>
            </w:pPr>
            <w:r>
              <w:t>Les produits en cuivre fabriqués en France contiennent 35% de matière recyclées, soit</w:t>
            </w:r>
            <w:r w:rsidR="00290A6E">
              <w:t> </w:t>
            </w:r>
            <w:r>
              <w:t xml:space="preserve">111 </w:t>
            </w:r>
            <w:proofErr w:type="spellStart"/>
            <w:r>
              <w:t>kt</w:t>
            </w:r>
            <w:proofErr w:type="spellEnd"/>
            <w:r>
              <w:t>.</w:t>
            </w:r>
          </w:p>
        </w:tc>
      </w:tr>
      <w:tr w:rsidR="007B2F2A" w14:paraId="5CEB022D" w14:textId="77777777" w:rsidTr="00335301">
        <w:tc>
          <w:tcPr>
            <w:tcW w:w="1271" w:type="dxa"/>
            <w:vAlign w:val="center"/>
          </w:tcPr>
          <w:p w14:paraId="6CD40EF2" w14:textId="77777777" w:rsidR="007B2F2A" w:rsidRDefault="00E62E28" w:rsidP="00E62E28">
            <w:pPr>
              <w:spacing w:before="40" w:after="40"/>
              <w:jc w:val="center"/>
            </w:pPr>
            <w:r>
              <w:t>Plomb</w:t>
            </w:r>
          </w:p>
        </w:tc>
        <w:tc>
          <w:tcPr>
            <w:tcW w:w="3266" w:type="dxa"/>
            <w:vAlign w:val="center"/>
          </w:tcPr>
          <w:p w14:paraId="1E4E5207" w14:textId="77777777" w:rsidR="007B2F2A" w:rsidRDefault="00E62E28" w:rsidP="00E62E28">
            <w:pPr>
              <w:spacing w:before="40" w:after="40"/>
              <w:jc w:val="center"/>
            </w:pPr>
            <w:r>
              <w:t>Batteries, câbles, crasses (scories</w:t>
            </w:r>
            <w:r w:rsidR="00AF2EB5">
              <w:t>)</w:t>
            </w:r>
            <w:r>
              <w:t xml:space="preserve"> métalliques etc.</w:t>
            </w:r>
          </w:p>
        </w:tc>
        <w:tc>
          <w:tcPr>
            <w:tcW w:w="2101" w:type="dxa"/>
            <w:vAlign w:val="center"/>
          </w:tcPr>
          <w:p w14:paraId="3DAD909D" w14:textId="77777777" w:rsidR="007B2F2A" w:rsidRDefault="00E62E28" w:rsidP="00E62E28">
            <w:pPr>
              <w:spacing w:before="40" w:after="40"/>
              <w:jc w:val="center"/>
            </w:pPr>
            <w:r>
              <w:t xml:space="preserve">120 </w:t>
            </w:r>
            <w:proofErr w:type="spellStart"/>
            <w:r>
              <w:t>kt</w:t>
            </w:r>
            <w:proofErr w:type="spellEnd"/>
          </w:p>
        </w:tc>
        <w:tc>
          <w:tcPr>
            <w:tcW w:w="3994" w:type="dxa"/>
            <w:vAlign w:val="center"/>
          </w:tcPr>
          <w:p w14:paraId="4691A81C" w14:textId="77777777" w:rsidR="007B2F2A" w:rsidRDefault="00E62E28" w:rsidP="00290A6E">
            <w:pPr>
              <w:spacing w:before="40" w:after="40"/>
              <w:jc w:val="center"/>
            </w:pPr>
            <w:r>
              <w:t>Les produits en plomb fabriqués en France contiennent 30% de matière recyclées, soit</w:t>
            </w:r>
            <w:r w:rsidR="00290A6E">
              <w:t> </w:t>
            </w:r>
            <w:r>
              <w:t>26</w:t>
            </w:r>
            <w:r w:rsidR="00290A6E">
              <w:t> </w:t>
            </w:r>
            <w:proofErr w:type="spellStart"/>
            <w:r>
              <w:t>kt</w:t>
            </w:r>
            <w:proofErr w:type="spellEnd"/>
            <w:r>
              <w:t>.</w:t>
            </w:r>
          </w:p>
        </w:tc>
      </w:tr>
      <w:tr w:rsidR="007B2F2A" w14:paraId="13A77C0D" w14:textId="77777777" w:rsidTr="00335301">
        <w:tc>
          <w:tcPr>
            <w:tcW w:w="1271" w:type="dxa"/>
            <w:vAlign w:val="center"/>
          </w:tcPr>
          <w:p w14:paraId="3EBF678B" w14:textId="77777777" w:rsidR="007B2F2A" w:rsidRDefault="00AF2EB5" w:rsidP="00E62E28">
            <w:pPr>
              <w:spacing w:before="40" w:after="40"/>
              <w:jc w:val="center"/>
            </w:pPr>
            <w:r>
              <w:t>Zinc</w:t>
            </w:r>
          </w:p>
        </w:tc>
        <w:tc>
          <w:tcPr>
            <w:tcW w:w="3266" w:type="dxa"/>
            <w:vAlign w:val="center"/>
          </w:tcPr>
          <w:p w14:paraId="4FF40840" w14:textId="77777777" w:rsidR="007B2F2A" w:rsidRDefault="00AF2EB5" w:rsidP="00E62E28">
            <w:pPr>
              <w:spacing w:before="40" w:after="40"/>
              <w:jc w:val="center"/>
            </w:pPr>
            <w:r>
              <w:t>Batteries, câbles, crasses (scories) métalliques etc.</w:t>
            </w:r>
          </w:p>
        </w:tc>
        <w:tc>
          <w:tcPr>
            <w:tcW w:w="2101" w:type="dxa"/>
            <w:vAlign w:val="center"/>
          </w:tcPr>
          <w:p w14:paraId="5FED6766" w14:textId="77777777" w:rsidR="007B2F2A" w:rsidRDefault="00AF2EB5" w:rsidP="00E62E28">
            <w:pPr>
              <w:spacing w:before="40" w:after="40"/>
              <w:jc w:val="center"/>
            </w:pPr>
            <w:r>
              <w:t xml:space="preserve">75 </w:t>
            </w:r>
            <w:proofErr w:type="spellStart"/>
            <w:r>
              <w:t>kt</w:t>
            </w:r>
            <w:proofErr w:type="spellEnd"/>
          </w:p>
        </w:tc>
        <w:tc>
          <w:tcPr>
            <w:tcW w:w="3994" w:type="dxa"/>
            <w:vAlign w:val="center"/>
          </w:tcPr>
          <w:p w14:paraId="31A4A054" w14:textId="77777777" w:rsidR="007B2F2A" w:rsidRDefault="00AF2EB5" w:rsidP="00AF2EB5">
            <w:pPr>
              <w:spacing w:before="40" w:after="40"/>
              <w:jc w:val="center"/>
            </w:pPr>
            <w:r>
              <w:t>Les produits en zinc contiennent 95% de matières recyclées</w:t>
            </w:r>
          </w:p>
        </w:tc>
      </w:tr>
      <w:tr w:rsidR="007B2F2A" w14:paraId="3218999B" w14:textId="77777777" w:rsidTr="00335301">
        <w:tc>
          <w:tcPr>
            <w:tcW w:w="1271" w:type="dxa"/>
            <w:vAlign w:val="center"/>
          </w:tcPr>
          <w:p w14:paraId="1B4EC7C8" w14:textId="77777777" w:rsidR="007B2F2A" w:rsidRDefault="00971066" w:rsidP="00E62E28">
            <w:pPr>
              <w:spacing w:before="40" w:after="40"/>
              <w:jc w:val="center"/>
            </w:pPr>
            <w:r>
              <w:t>Verre</w:t>
            </w:r>
          </w:p>
        </w:tc>
        <w:tc>
          <w:tcPr>
            <w:tcW w:w="3266" w:type="dxa"/>
            <w:vAlign w:val="center"/>
          </w:tcPr>
          <w:p w14:paraId="3852FAF4" w14:textId="77777777" w:rsidR="007B2F2A" w:rsidRDefault="00971066" w:rsidP="00E62E28">
            <w:pPr>
              <w:spacing w:before="40" w:after="40"/>
              <w:jc w:val="center"/>
            </w:pPr>
            <w:r>
              <w:t>Bouteilles, flacon, parebrises, etc.</w:t>
            </w:r>
          </w:p>
        </w:tc>
        <w:tc>
          <w:tcPr>
            <w:tcW w:w="2101" w:type="dxa"/>
            <w:vAlign w:val="center"/>
          </w:tcPr>
          <w:p w14:paraId="62723E6D" w14:textId="77777777" w:rsidR="007B2F2A" w:rsidRDefault="00971066" w:rsidP="00E62E28">
            <w:pPr>
              <w:spacing w:before="40" w:after="40"/>
              <w:jc w:val="center"/>
            </w:pPr>
            <w:r>
              <w:t>2,5 Mt</w:t>
            </w:r>
          </w:p>
        </w:tc>
        <w:tc>
          <w:tcPr>
            <w:tcW w:w="3994" w:type="dxa"/>
            <w:vAlign w:val="center"/>
          </w:tcPr>
          <w:p w14:paraId="53D1C8FE" w14:textId="77777777" w:rsidR="007B2F2A" w:rsidRDefault="00971066" w:rsidP="00290A6E">
            <w:pPr>
              <w:spacing w:before="40" w:after="40"/>
              <w:jc w:val="center"/>
            </w:pPr>
            <w:r>
              <w:t>Les produits de verre contiennent 52% de matières recyclées, soit</w:t>
            </w:r>
            <w:r w:rsidR="00290A6E">
              <w:t> </w:t>
            </w:r>
            <w:r>
              <w:t>2,4 Mt.</w:t>
            </w:r>
          </w:p>
        </w:tc>
      </w:tr>
      <w:tr w:rsidR="007B2F2A" w14:paraId="2C59F242" w14:textId="77777777" w:rsidTr="00335301">
        <w:tc>
          <w:tcPr>
            <w:tcW w:w="1271" w:type="dxa"/>
            <w:vAlign w:val="center"/>
          </w:tcPr>
          <w:p w14:paraId="74C9A746" w14:textId="46BD4EE2" w:rsidR="007B2F2A" w:rsidRDefault="005D6F52" w:rsidP="00E62E28">
            <w:pPr>
              <w:spacing w:before="40" w:after="40"/>
              <w:jc w:val="center"/>
            </w:pPr>
            <w:r>
              <w:t>Papiers</w:t>
            </w:r>
            <w:r w:rsidR="00971066">
              <w:t xml:space="preserve"> cartons</w:t>
            </w:r>
          </w:p>
        </w:tc>
        <w:tc>
          <w:tcPr>
            <w:tcW w:w="3266" w:type="dxa"/>
            <w:vAlign w:val="center"/>
          </w:tcPr>
          <w:p w14:paraId="77230BB5" w14:textId="77777777" w:rsidR="007B2F2A" w:rsidRDefault="00971066" w:rsidP="00E62E28">
            <w:pPr>
              <w:spacing w:before="40" w:after="40"/>
              <w:jc w:val="center"/>
            </w:pPr>
            <w:r>
              <w:t>Emballages industriels ou ménagers, vieux journaux, etc.</w:t>
            </w:r>
          </w:p>
        </w:tc>
        <w:tc>
          <w:tcPr>
            <w:tcW w:w="2101" w:type="dxa"/>
            <w:vAlign w:val="center"/>
          </w:tcPr>
          <w:p w14:paraId="16851285" w14:textId="77777777" w:rsidR="007B2F2A" w:rsidRDefault="00971066" w:rsidP="00E62E28">
            <w:pPr>
              <w:spacing w:before="40" w:after="40"/>
              <w:jc w:val="center"/>
            </w:pPr>
            <w:r>
              <w:t>7,3 Mt</w:t>
            </w:r>
          </w:p>
        </w:tc>
        <w:tc>
          <w:tcPr>
            <w:tcW w:w="3994" w:type="dxa"/>
            <w:vAlign w:val="center"/>
          </w:tcPr>
          <w:p w14:paraId="0A244439" w14:textId="77777777" w:rsidR="00971066" w:rsidRDefault="00971066" w:rsidP="00971066">
            <w:pPr>
              <w:spacing w:before="40" w:after="40"/>
              <w:jc w:val="center"/>
            </w:pPr>
            <w:r>
              <w:t>Les produits de papiers et cartons contiennent 37% de matières recyclées, soit 5,4 Mt.</w:t>
            </w:r>
          </w:p>
        </w:tc>
      </w:tr>
      <w:tr w:rsidR="00971066" w14:paraId="4DD3F16C" w14:textId="77777777" w:rsidTr="00335301">
        <w:tc>
          <w:tcPr>
            <w:tcW w:w="1271" w:type="dxa"/>
            <w:vAlign w:val="center"/>
          </w:tcPr>
          <w:p w14:paraId="11AFA69F" w14:textId="77777777" w:rsidR="00971066" w:rsidRDefault="00971066" w:rsidP="00E62E28">
            <w:pPr>
              <w:spacing w:before="40" w:after="40"/>
              <w:jc w:val="center"/>
            </w:pPr>
            <w:r>
              <w:t>Bois</w:t>
            </w:r>
          </w:p>
        </w:tc>
        <w:tc>
          <w:tcPr>
            <w:tcW w:w="3266" w:type="dxa"/>
            <w:vAlign w:val="center"/>
          </w:tcPr>
          <w:p w14:paraId="1A97D0AB" w14:textId="77777777" w:rsidR="00971066" w:rsidRDefault="00971066" w:rsidP="00E62E28">
            <w:pPr>
              <w:spacing w:before="40" w:after="40"/>
              <w:jc w:val="center"/>
            </w:pPr>
            <w:r>
              <w:t>Meubles, panneaux, emballages industriels, etc.</w:t>
            </w:r>
          </w:p>
        </w:tc>
        <w:tc>
          <w:tcPr>
            <w:tcW w:w="2101" w:type="dxa"/>
            <w:vAlign w:val="center"/>
          </w:tcPr>
          <w:p w14:paraId="4D2CFEB8" w14:textId="77777777" w:rsidR="00971066" w:rsidRDefault="00971066" w:rsidP="00E62E28">
            <w:pPr>
              <w:spacing w:before="40" w:after="40"/>
              <w:jc w:val="center"/>
            </w:pPr>
            <w:r>
              <w:t>2,1 Mt</w:t>
            </w:r>
          </w:p>
        </w:tc>
        <w:tc>
          <w:tcPr>
            <w:tcW w:w="3994" w:type="dxa"/>
            <w:vAlign w:val="center"/>
          </w:tcPr>
          <w:p w14:paraId="5234C770" w14:textId="77777777" w:rsidR="00971066" w:rsidRDefault="00971066" w:rsidP="00290A6E">
            <w:pPr>
              <w:spacing w:before="40" w:after="40"/>
              <w:jc w:val="center"/>
            </w:pPr>
            <w:r>
              <w:t>Les produits de panneaux de particuliers contiennent 41% de matières recyclées, soit</w:t>
            </w:r>
            <w:r w:rsidR="00290A6E">
              <w:t> </w:t>
            </w:r>
            <w:r>
              <w:t>1</w:t>
            </w:r>
            <w:r w:rsidR="00290A6E">
              <w:t> </w:t>
            </w:r>
            <w:r>
              <w:t>Mt.</w:t>
            </w:r>
          </w:p>
        </w:tc>
      </w:tr>
      <w:tr w:rsidR="00971066" w14:paraId="7A85961E" w14:textId="77777777" w:rsidTr="00335301">
        <w:tc>
          <w:tcPr>
            <w:tcW w:w="1271" w:type="dxa"/>
            <w:vAlign w:val="center"/>
          </w:tcPr>
          <w:p w14:paraId="56E19EFD" w14:textId="77777777" w:rsidR="00971066" w:rsidRDefault="00290A6E" w:rsidP="00E62E28">
            <w:pPr>
              <w:spacing w:before="40" w:after="40"/>
              <w:jc w:val="center"/>
            </w:pPr>
            <w:r>
              <w:t>Plastique</w:t>
            </w:r>
          </w:p>
        </w:tc>
        <w:tc>
          <w:tcPr>
            <w:tcW w:w="3266" w:type="dxa"/>
            <w:vAlign w:val="center"/>
          </w:tcPr>
          <w:p w14:paraId="289D3930" w14:textId="77777777" w:rsidR="00971066" w:rsidRDefault="00290A6E" w:rsidP="00290A6E">
            <w:pPr>
              <w:spacing w:before="40" w:after="40"/>
              <w:jc w:val="center"/>
            </w:pPr>
            <w:r>
              <w:t>Barquettes, sacs, pièces de voitures, électroménagers, etc.</w:t>
            </w:r>
          </w:p>
        </w:tc>
        <w:tc>
          <w:tcPr>
            <w:tcW w:w="2101" w:type="dxa"/>
            <w:vAlign w:val="center"/>
          </w:tcPr>
          <w:p w14:paraId="32A7A1C8" w14:textId="77777777" w:rsidR="00971066" w:rsidRDefault="00290A6E" w:rsidP="00E62E28">
            <w:pPr>
              <w:spacing w:before="40" w:after="40"/>
              <w:jc w:val="center"/>
            </w:pPr>
            <w:r>
              <w:t>1,3 Mt</w:t>
            </w:r>
          </w:p>
        </w:tc>
        <w:tc>
          <w:tcPr>
            <w:tcW w:w="3994" w:type="dxa"/>
            <w:vAlign w:val="center"/>
          </w:tcPr>
          <w:p w14:paraId="63F64A19" w14:textId="77777777" w:rsidR="00971066" w:rsidRDefault="00290A6E" w:rsidP="00290A6E">
            <w:pPr>
              <w:spacing w:before="40" w:after="40"/>
              <w:jc w:val="center"/>
            </w:pPr>
            <w:r>
              <w:t xml:space="preserve">557 </w:t>
            </w:r>
            <w:proofErr w:type="spellStart"/>
            <w:r>
              <w:t>kt</w:t>
            </w:r>
            <w:proofErr w:type="spellEnd"/>
            <w:r>
              <w:t xml:space="preserve"> de matière plastique recyclée sont produites en France </w:t>
            </w:r>
          </w:p>
        </w:tc>
      </w:tr>
      <w:tr w:rsidR="00C05FA7" w14:paraId="642FAA9E" w14:textId="77777777" w:rsidTr="00335301">
        <w:tc>
          <w:tcPr>
            <w:tcW w:w="1271" w:type="dxa"/>
            <w:vAlign w:val="center"/>
          </w:tcPr>
          <w:p w14:paraId="71DCF275" w14:textId="77777777" w:rsidR="00C05FA7" w:rsidRDefault="00C05FA7" w:rsidP="00E62E28">
            <w:pPr>
              <w:spacing w:before="40" w:after="40"/>
              <w:jc w:val="center"/>
            </w:pPr>
            <w:r>
              <w:t>Inertes du BTP</w:t>
            </w:r>
          </w:p>
        </w:tc>
        <w:tc>
          <w:tcPr>
            <w:tcW w:w="3266" w:type="dxa"/>
            <w:vAlign w:val="center"/>
          </w:tcPr>
          <w:p w14:paraId="444E728E" w14:textId="77777777" w:rsidR="00C05FA7" w:rsidRDefault="00C05FA7" w:rsidP="00E62E28">
            <w:pPr>
              <w:spacing w:before="40" w:after="40"/>
              <w:jc w:val="center"/>
            </w:pPr>
            <w:r>
              <w:t>Granulats, terres, béton, etc.</w:t>
            </w:r>
          </w:p>
        </w:tc>
        <w:tc>
          <w:tcPr>
            <w:tcW w:w="6095" w:type="dxa"/>
            <w:gridSpan w:val="2"/>
            <w:vAlign w:val="center"/>
          </w:tcPr>
          <w:p w14:paraId="239D4A14" w14:textId="11DF36F3" w:rsidR="00C05FA7" w:rsidRDefault="00C05FA7" w:rsidP="00C05FA7">
            <w:pPr>
              <w:spacing w:before="40" w:after="40"/>
              <w:jc w:val="center"/>
            </w:pPr>
            <w:r>
              <w:t xml:space="preserve">En 2014, 211 Mt dont 45 à 93 Mt de déchets inertes </w:t>
            </w:r>
            <w:r w:rsidR="00F75BB2">
              <w:t xml:space="preserve">collectés </w:t>
            </w:r>
            <w:r>
              <w:t>destinés au recyclage</w:t>
            </w:r>
          </w:p>
        </w:tc>
      </w:tr>
    </w:tbl>
    <w:p w14:paraId="13B168EF" w14:textId="77777777" w:rsidR="00290A6E" w:rsidRDefault="00290A6E" w:rsidP="00290A6E">
      <w:pPr>
        <w:pStyle w:val="Lgende"/>
      </w:pPr>
      <w:r>
        <w:t xml:space="preserve">Tableau </w:t>
      </w:r>
      <w:r w:rsidR="009E14BA">
        <w:rPr>
          <w:noProof/>
        </w:rPr>
        <w:fldChar w:fldCharType="begin"/>
      </w:r>
      <w:r w:rsidR="00F03079">
        <w:rPr>
          <w:noProof/>
        </w:rPr>
        <w:instrText xml:space="preserve"> SEQ Tableau \* ARABIC </w:instrText>
      </w:r>
      <w:r w:rsidR="009E14BA">
        <w:rPr>
          <w:noProof/>
        </w:rPr>
        <w:fldChar w:fldCharType="separate"/>
      </w:r>
      <w:r w:rsidR="00C64908">
        <w:rPr>
          <w:noProof/>
        </w:rPr>
        <w:t>3</w:t>
      </w:r>
      <w:r w:rsidR="009E14BA">
        <w:rPr>
          <w:noProof/>
        </w:rPr>
        <w:fldChar w:fldCharType="end"/>
      </w:r>
      <w:r>
        <w:t xml:space="preserve"> : Quelques exemples de matières recyclées </w:t>
      </w:r>
      <w:r w:rsidR="00D5009B">
        <w:t xml:space="preserve">en France </w:t>
      </w:r>
      <w:r w:rsidR="00ED1811">
        <w:t>pour l’année 2017, source [</w:t>
      </w:r>
      <w:r w:rsidR="00863BD5">
        <w:t>19</w:t>
      </w:r>
      <w:r w:rsidR="00ED1811">
        <w:t>]</w:t>
      </w:r>
    </w:p>
    <w:p w14:paraId="18136421" w14:textId="77777777" w:rsidR="00AF2EB5" w:rsidRDefault="00861C33" w:rsidP="00A93C30">
      <w:pPr>
        <w:pStyle w:val="Sansinterligne"/>
        <w:spacing w:before="360"/>
        <w:ind w:left="-567" w:right="-595"/>
      </w:pPr>
      <w:r>
        <w:rPr>
          <w:noProof/>
          <w:lang w:eastAsia="fr-FR"/>
        </w:rPr>
        <w:drawing>
          <wp:inline distT="0" distB="0" distL="0" distR="0" wp14:anchorId="1BFA4FD3" wp14:editId="6CD50653">
            <wp:extent cx="3212833" cy="2152650"/>
            <wp:effectExtent l="19050" t="0" r="6617"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i et recyclage de ferrailles et métaux chez Aubord Recycla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0528" cy="2164506"/>
                    </a:xfrm>
                    <a:prstGeom prst="rect">
                      <a:avLst/>
                    </a:prstGeom>
                  </pic:spPr>
                </pic:pic>
              </a:graphicData>
            </a:graphic>
          </wp:inline>
        </w:drawing>
      </w:r>
      <w:r w:rsidR="00A452BC">
        <w:t xml:space="preserve">  </w:t>
      </w:r>
      <w:r w:rsidR="00AF2EB5">
        <w:rPr>
          <w:noProof/>
          <w:lang w:eastAsia="fr-FR"/>
        </w:rPr>
        <w:drawing>
          <wp:inline distT="0" distB="0" distL="0" distR="0" wp14:anchorId="43609297" wp14:editId="6AE48F2F">
            <wp:extent cx="3222118" cy="215265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yclage du plomb chez Pyrotek.png"/>
                    <pic:cNvPicPr/>
                  </pic:nvPicPr>
                  <pic:blipFill>
                    <a:blip r:embed="rId23">
                      <a:extLst>
                        <a:ext uri="{28A0092B-C50C-407E-A947-70E740481C1C}">
                          <a14:useLocalDpi xmlns:a14="http://schemas.microsoft.com/office/drawing/2010/main" val="0"/>
                        </a:ext>
                      </a:extLst>
                    </a:blip>
                    <a:stretch>
                      <a:fillRect/>
                    </a:stretch>
                  </pic:blipFill>
                  <pic:spPr>
                    <a:xfrm>
                      <a:off x="0" y="0"/>
                      <a:ext cx="3263250" cy="2180129"/>
                    </a:xfrm>
                    <a:prstGeom prst="rect">
                      <a:avLst/>
                    </a:prstGeom>
                  </pic:spPr>
                </pic:pic>
              </a:graphicData>
            </a:graphic>
          </wp:inline>
        </w:drawing>
      </w:r>
    </w:p>
    <w:p w14:paraId="3AF50E85" w14:textId="77777777" w:rsidR="00A452BC" w:rsidRDefault="00A452BC" w:rsidP="00861C33">
      <w:pPr>
        <w:pStyle w:val="Lgende"/>
        <w:sectPr w:rsidR="00A452BC" w:rsidSect="006F7059">
          <w:footerReference w:type="default" r:id="rId24"/>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pPr>
    </w:p>
    <w:p w14:paraId="663AD78F" w14:textId="77777777" w:rsidR="0016690C" w:rsidRDefault="00861C33" w:rsidP="00861C33">
      <w:pPr>
        <w:pStyle w:val="Lgende"/>
      </w:pPr>
      <w:r>
        <w:t xml:space="preserve">Figure </w:t>
      </w:r>
      <w:r w:rsidR="009E14BA">
        <w:rPr>
          <w:noProof/>
        </w:rPr>
        <w:fldChar w:fldCharType="begin"/>
      </w:r>
      <w:r w:rsidR="00F97432">
        <w:rPr>
          <w:noProof/>
        </w:rPr>
        <w:instrText xml:space="preserve"> SEQ Figure \* ARABIC </w:instrText>
      </w:r>
      <w:r w:rsidR="009E14BA">
        <w:rPr>
          <w:noProof/>
        </w:rPr>
        <w:fldChar w:fldCharType="separate"/>
      </w:r>
      <w:r w:rsidR="00C64908">
        <w:rPr>
          <w:noProof/>
        </w:rPr>
        <w:t>13</w:t>
      </w:r>
      <w:r w:rsidR="009E14BA">
        <w:rPr>
          <w:noProof/>
        </w:rPr>
        <w:fldChar w:fldCharType="end"/>
      </w:r>
      <w:r>
        <w:rPr>
          <w:noProof/>
          <w:lang w:eastAsia="fr-FR"/>
        </w:rPr>
        <w:t xml:space="preserve"> : Centre de tri de ferrailles et métaux chez Aubord Recyclage, source [</w:t>
      </w:r>
      <w:r w:rsidR="00863BD5">
        <w:rPr>
          <w:noProof/>
          <w:lang w:eastAsia="fr-FR"/>
        </w:rPr>
        <w:t>21</w:t>
      </w:r>
      <w:r>
        <w:rPr>
          <w:noProof/>
          <w:lang w:eastAsia="fr-FR"/>
        </w:rPr>
        <w:t>]</w:t>
      </w:r>
    </w:p>
    <w:p w14:paraId="7A6C8195" w14:textId="77777777" w:rsidR="00A452BC" w:rsidRDefault="00AF2EB5" w:rsidP="00AF2EB5">
      <w:pPr>
        <w:pStyle w:val="Lgende"/>
        <w:sectPr w:rsidR="00A452BC" w:rsidSect="00A452BC">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num="2" w:space="708"/>
          <w:docGrid w:linePitch="360"/>
        </w:sectPr>
      </w:pPr>
      <w:r>
        <w:t xml:space="preserve">Figure </w:t>
      </w:r>
      <w:r w:rsidR="009E14BA">
        <w:rPr>
          <w:noProof/>
        </w:rPr>
        <w:fldChar w:fldCharType="begin"/>
      </w:r>
      <w:r w:rsidR="00F03079">
        <w:rPr>
          <w:noProof/>
        </w:rPr>
        <w:instrText xml:space="preserve"> SEQ Figure \* ARABIC </w:instrText>
      </w:r>
      <w:r w:rsidR="009E14BA">
        <w:rPr>
          <w:noProof/>
        </w:rPr>
        <w:fldChar w:fldCharType="separate"/>
      </w:r>
      <w:r w:rsidR="00C64908">
        <w:rPr>
          <w:noProof/>
        </w:rPr>
        <w:t>14</w:t>
      </w:r>
      <w:r w:rsidR="009E14BA">
        <w:rPr>
          <w:noProof/>
        </w:rPr>
        <w:fldChar w:fldCharType="end"/>
      </w:r>
      <w:r>
        <w:t xml:space="preserve"> : Recyclage du plomb chez </w:t>
      </w:r>
      <w:proofErr w:type="spellStart"/>
      <w:r>
        <w:t>Pyrotek</w:t>
      </w:r>
      <w:proofErr w:type="spellEnd"/>
      <w:r>
        <w:t>, source [</w:t>
      </w:r>
      <w:r w:rsidR="00863BD5">
        <w:t>22</w:t>
      </w:r>
      <w:r>
        <w:t>]</w:t>
      </w:r>
    </w:p>
    <w:p w14:paraId="2FB41BE7" w14:textId="77777777" w:rsidR="005666E1" w:rsidRPr="005666E1" w:rsidRDefault="005666E1" w:rsidP="005666E1">
      <w:pPr>
        <w:pStyle w:val="Titre2"/>
      </w:pPr>
      <w:r>
        <w:t>5.2 – Récupération des équipements</w:t>
      </w:r>
      <w:r w:rsidR="00280EB6">
        <w:t xml:space="preserve">, </w:t>
      </w:r>
      <w:r w:rsidR="00F03079">
        <w:t>où en est-on ?</w:t>
      </w:r>
    </w:p>
    <w:p w14:paraId="2B9F409D" w14:textId="77777777" w:rsidR="005821E9" w:rsidRDefault="005821E9" w:rsidP="005821E9">
      <w:pPr>
        <w:rPr>
          <w:lang w:eastAsia="fr-FR"/>
        </w:rPr>
      </w:pPr>
      <w:r w:rsidRPr="005821E9">
        <w:rPr>
          <w:lang w:eastAsia="fr-FR"/>
        </w:rPr>
        <w:t xml:space="preserve">La récupération des déchets informatiques et électroniques en vue de leur recyclage </w:t>
      </w:r>
      <w:r>
        <w:rPr>
          <w:lang w:eastAsia="fr-FR"/>
        </w:rPr>
        <w:t>suit</w:t>
      </w:r>
      <w:r w:rsidRPr="005821E9">
        <w:rPr>
          <w:lang w:eastAsia="fr-FR"/>
        </w:rPr>
        <w:t xml:space="preserve"> une procédure </w:t>
      </w:r>
      <w:r>
        <w:rPr>
          <w:lang w:eastAsia="fr-FR"/>
        </w:rPr>
        <w:t>particulière.</w:t>
      </w:r>
      <w:r w:rsidRPr="005821E9">
        <w:rPr>
          <w:lang w:eastAsia="fr-FR"/>
        </w:rPr>
        <w:t xml:space="preserve"> Ils sont regroupés sous l'appellation </w:t>
      </w:r>
      <w:r w:rsidRPr="005821E9">
        <w:rPr>
          <w:i/>
          <w:lang w:eastAsia="fr-FR"/>
        </w:rPr>
        <w:t>Déchets d'Equipements Electriques et Electroniques</w:t>
      </w:r>
      <w:r w:rsidRPr="005821E9">
        <w:rPr>
          <w:lang w:eastAsia="fr-FR"/>
        </w:rPr>
        <w:t xml:space="preserve"> (DEEE ou D3E)</w:t>
      </w:r>
      <w:r>
        <w:rPr>
          <w:lang w:eastAsia="fr-FR"/>
        </w:rPr>
        <w:t xml:space="preserve">. </w:t>
      </w:r>
      <w:r w:rsidR="0018244F">
        <w:rPr>
          <w:lang w:eastAsia="fr-FR"/>
        </w:rPr>
        <w:t>Il s’agit</w:t>
      </w:r>
      <w:r>
        <w:rPr>
          <w:lang w:eastAsia="fr-FR"/>
        </w:rPr>
        <w:t xml:space="preserve"> donc</w:t>
      </w:r>
      <w:r w:rsidRPr="005821E9">
        <w:rPr>
          <w:lang w:eastAsia="fr-FR"/>
        </w:rPr>
        <w:t xml:space="preserve"> </w:t>
      </w:r>
      <w:r w:rsidR="0018244F">
        <w:rPr>
          <w:lang w:eastAsia="fr-FR"/>
        </w:rPr>
        <w:t xml:space="preserve">de </w:t>
      </w:r>
      <w:r w:rsidRPr="005821E9">
        <w:rPr>
          <w:lang w:eastAsia="fr-FR"/>
        </w:rPr>
        <w:t>tous les matériels comportant des composants électriques ou électroniques</w:t>
      </w:r>
      <w:r w:rsidR="0018244F">
        <w:rPr>
          <w:lang w:eastAsia="fr-FR"/>
        </w:rPr>
        <w:t>, désormais en croissance quasi exponentielle vu la rapidité de leur renouvellement</w:t>
      </w:r>
      <w:r w:rsidRPr="005821E9">
        <w:rPr>
          <w:lang w:eastAsia="fr-FR"/>
        </w:rPr>
        <w:t>.</w:t>
      </w:r>
    </w:p>
    <w:p w14:paraId="177E9CC2" w14:textId="77777777" w:rsidR="00EB72CD" w:rsidRDefault="00EB72CD" w:rsidP="005821E9">
      <w:pPr>
        <w:rPr>
          <w:lang w:eastAsia="fr-FR"/>
        </w:rPr>
      </w:pPr>
      <w:r w:rsidRPr="00EB72CD">
        <w:t>Notons que depuis 2010 en France, la notion de responsabilité élargie du producteur (REP) est appliquée</w:t>
      </w:r>
      <w:r w:rsidR="00184718">
        <w:t>. La REP</w:t>
      </w:r>
      <w:r w:rsidRPr="00EB72CD">
        <w:t xml:space="preserve"> désigne </w:t>
      </w:r>
      <w:r w:rsidR="00184718">
        <w:t>l</w:t>
      </w:r>
      <w:r w:rsidRPr="00EB72CD">
        <w:t>es démarches et dispositifs restaur</w:t>
      </w:r>
      <w:r w:rsidR="00184718">
        <w:t>a</w:t>
      </w:r>
      <w:r w:rsidRPr="00EB72CD">
        <w:t xml:space="preserve">nt la responsabilité du producteur de produits manufacturés </w:t>
      </w:r>
      <w:r w:rsidR="00184718">
        <w:t>vis-à-vis</w:t>
      </w:r>
      <w:r w:rsidRPr="00EB72CD">
        <w:t xml:space="preserve"> </w:t>
      </w:r>
      <w:r w:rsidR="00184718">
        <w:t xml:space="preserve">de </w:t>
      </w:r>
      <w:r w:rsidRPr="00EB72CD">
        <w:t>la gestion des déchets finaux ou intermédiaires générés par les produits qu'il a fabriqués ou mis sur le marché. Ainsi lorsque l’on</w:t>
      </w:r>
      <w:r>
        <w:t xml:space="preserve"> achète un nouveau réfrigérateur</w:t>
      </w:r>
      <w:r w:rsidR="00527130">
        <w:t xml:space="preserve"> par exemple</w:t>
      </w:r>
      <w:r>
        <w:t>, le fournisseur se doit de récupérer l’ancien réfrigérateur</w:t>
      </w:r>
      <w:r w:rsidR="00184718">
        <w:t xml:space="preserve"> pour son traitement de fin de vie.</w:t>
      </w:r>
      <w:r w:rsidR="00B004A5">
        <w:t xml:space="preserve"> Une éco-contribution (d’environ 0,52 €/kg) est demandé au consommateur </w:t>
      </w:r>
      <w:r w:rsidR="00B004A5">
        <w:lastRenderedPageBreak/>
        <w:t>afin de compenser le coût de collecte et de traitement des DEEE.</w:t>
      </w:r>
      <w:r w:rsidR="0018244F">
        <w:t xml:space="preserve"> Cette contribution </w:t>
      </w:r>
      <w:r w:rsidR="008B5E48">
        <w:t>est très modeste et ne permet pas de</w:t>
      </w:r>
      <w:r w:rsidR="0018244F">
        <w:t xml:space="preserve"> jouer un rôle </w:t>
      </w:r>
      <w:r w:rsidR="008B5E48">
        <w:t xml:space="preserve">véritablement </w:t>
      </w:r>
      <w:r w:rsidR="0018244F">
        <w:t xml:space="preserve"> incitatif.</w:t>
      </w:r>
    </w:p>
    <w:p w14:paraId="6F506A28" w14:textId="77777777" w:rsidR="005821E9" w:rsidRPr="005821E9" w:rsidRDefault="005821E9" w:rsidP="0068258E">
      <w:pPr>
        <w:rPr>
          <w:lang w:eastAsia="fr-FR"/>
        </w:rPr>
      </w:pPr>
      <w:r>
        <w:rPr>
          <w:lang w:eastAsia="fr-FR"/>
        </w:rPr>
        <w:t>Une fois</w:t>
      </w:r>
      <w:r w:rsidRPr="005821E9">
        <w:rPr>
          <w:lang w:eastAsia="fr-FR"/>
        </w:rPr>
        <w:t xml:space="preserve"> collectés par des entreprises spécialisées auprès des professionnels, ou déposés en déchetterie</w:t>
      </w:r>
      <w:r>
        <w:rPr>
          <w:lang w:eastAsia="fr-FR"/>
        </w:rPr>
        <w:t>, l</w:t>
      </w:r>
      <w:r w:rsidRPr="005821E9">
        <w:rPr>
          <w:lang w:eastAsia="fr-FR"/>
        </w:rPr>
        <w:t xml:space="preserve">es </w:t>
      </w:r>
      <w:r>
        <w:rPr>
          <w:lang w:eastAsia="fr-FR"/>
        </w:rPr>
        <w:t>DEEE</w:t>
      </w:r>
      <w:r w:rsidRPr="005821E9">
        <w:rPr>
          <w:lang w:eastAsia="fr-FR"/>
        </w:rPr>
        <w:t xml:space="preserve"> sont acheminés vers des centres de traitement où ils seront triés afin d'orienter les différents composants (composants électroniques, plastiques, verres, etc.) vers les filières de recyclage appropriées</w:t>
      </w:r>
      <w:r w:rsidRPr="005821E9">
        <w:t>.</w:t>
      </w:r>
    </w:p>
    <w:p w14:paraId="7B057CC2" w14:textId="77777777" w:rsidR="00590E25" w:rsidRDefault="00F03079" w:rsidP="00590E25">
      <w:pPr>
        <w:rPr>
          <w:rStyle w:val="font-secondaire"/>
        </w:rPr>
      </w:pPr>
      <w:r>
        <w:t>Près de 600</w:t>
      </w:r>
      <w:r w:rsidR="00590E25">
        <w:t> </w:t>
      </w:r>
      <w:r w:rsidR="00DD567F" w:rsidRPr="00DD567F">
        <w:t xml:space="preserve">000 tonnes de DEEE </w:t>
      </w:r>
      <w:r>
        <w:t xml:space="preserve">ménagers et 40 000 tonnes de DEEE </w:t>
      </w:r>
      <w:r w:rsidR="00831EEB">
        <w:t>professionnels</w:t>
      </w:r>
      <w:r>
        <w:t xml:space="preserve"> </w:t>
      </w:r>
      <w:r w:rsidR="00DD567F" w:rsidRPr="00DD567F">
        <w:t xml:space="preserve">ont été collectées en </w:t>
      </w:r>
      <w:r w:rsidR="0018244F">
        <w:t xml:space="preserve">France en </w:t>
      </w:r>
      <w:r w:rsidR="00DD567F" w:rsidRPr="00DD567F">
        <w:t xml:space="preserve">2019, </w:t>
      </w:r>
      <w:r w:rsidR="00DD567F">
        <w:t>ce qui représente</w:t>
      </w:r>
      <w:r>
        <w:t xml:space="preserve"> une croissance d’environ</w:t>
      </w:r>
      <w:r w:rsidR="00DD567F" w:rsidRPr="00DD567F">
        <w:t xml:space="preserve"> 5% par rapport </w:t>
      </w:r>
      <w:r w:rsidR="00DD567F">
        <w:t xml:space="preserve">aux collectes de l’année </w:t>
      </w:r>
      <w:r w:rsidR="00DD567F" w:rsidRPr="00DD567F">
        <w:t xml:space="preserve">2018. </w:t>
      </w:r>
      <w:r w:rsidR="00590E25" w:rsidRPr="00DD567F">
        <w:t>80 millions d’appareils électriques et électroniques</w:t>
      </w:r>
      <w:r w:rsidR="00590E25">
        <w:t xml:space="preserve"> ont été collectés. </w:t>
      </w:r>
      <w:r w:rsidR="0018244F">
        <w:t>L’éclairage</w:t>
      </w:r>
      <w:r w:rsidR="00DD567F" w:rsidRPr="00DD567F">
        <w:t xml:space="preserve"> représente 5</w:t>
      </w:r>
      <w:r w:rsidR="008B5E48">
        <w:t> </w:t>
      </w:r>
      <w:r w:rsidR="00DD567F" w:rsidRPr="00DD567F">
        <w:t xml:space="preserve">177 tonnes, </w:t>
      </w:r>
      <w:r w:rsidR="00590E25">
        <w:t xml:space="preserve">soit </w:t>
      </w:r>
      <w:r>
        <w:t>58 millions d’ampoule</w:t>
      </w:r>
      <w:r w:rsidR="00590E25" w:rsidRPr="00DD567F">
        <w:t>s</w:t>
      </w:r>
      <w:r w:rsidR="00590E25">
        <w:t xml:space="preserve">. </w:t>
      </w:r>
      <w:r w:rsidR="00590E25">
        <w:rPr>
          <w:rStyle w:val="font-secondaire"/>
        </w:rPr>
        <w:t>À</w:t>
      </w:r>
      <w:r w:rsidR="00793828">
        <w:rPr>
          <w:rStyle w:val="font-secondaire"/>
        </w:rPr>
        <w:t xml:space="preserve"> partir</w:t>
      </w:r>
      <w:r>
        <w:rPr>
          <w:rStyle w:val="font-secondaire"/>
        </w:rPr>
        <w:t xml:space="preserve"> </w:t>
      </w:r>
      <w:r w:rsidR="00793828">
        <w:rPr>
          <w:rStyle w:val="font-secondaire"/>
        </w:rPr>
        <w:t>de</w:t>
      </w:r>
      <w:r w:rsidR="0018244F">
        <w:rPr>
          <w:rStyle w:val="font-secondaire"/>
        </w:rPr>
        <w:t>s</w:t>
      </w:r>
      <w:r w:rsidR="00DD567F" w:rsidRPr="00590E25">
        <w:rPr>
          <w:rStyle w:val="font-secondaire"/>
        </w:rPr>
        <w:t xml:space="preserve"> 604</w:t>
      </w:r>
      <w:r w:rsidR="00590E25">
        <w:rPr>
          <w:rStyle w:val="font-secondaire"/>
        </w:rPr>
        <w:t> </w:t>
      </w:r>
      <w:r w:rsidR="00DD567F" w:rsidRPr="00590E25">
        <w:rPr>
          <w:rStyle w:val="font-secondaire"/>
        </w:rPr>
        <w:t>0</w:t>
      </w:r>
      <w:r w:rsidR="00590E25">
        <w:rPr>
          <w:rStyle w:val="font-secondaire"/>
        </w:rPr>
        <w:t>00 tonnes de déchets collectées</w:t>
      </w:r>
      <w:r w:rsidR="0018244F">
        <w:rPr>
          <w:rStyle w:val="font-secondaire"/>
        </w:rPr>
        <w:t xml:space="preserve"> en 2019</w:t>
      </w:r>
      <w:r>
        <w:rPr>
          <w:rStyle w:val="font-secondaire"/>
        </w:rPr>
        <w:t>,</w:t>
      </w:r>
      <w:r w:rsidR="00DD567F" w:rsidRPr="00590E25">
        <w:rPr>
          <w:rStyle w:val="font-secondaire"/>
        </w:rPr>
        <w:t xml:space="preserve"> </w:t>
      </w:r>
      <w:r w:rsidR="00590E25" w:rsidRPr="00590E25">
        <w:rPr>
          <w:rStyle w:val="font-secondaire"/>
        </w:rPr>
        <w:t>ont été produites</w:t>
      </w:r>
      <w:r w:rsidR="00590E25">
        <w:rPr>
          <w:rStyle w:val="font-secondaire"/>
        </w:rPr>
        <w:t xml:space="preserve"> </w:t>
      </w:r>
      <w:r w:rsidR="00DD567F" w:rsidRPr="00590E25">
        <w:rPr>
          <w:rStyle w:val="font-secondaire"/>
        </w:rPr>
        <w:t>307</w:t>
      </w:r>
      <w:r w:rsidR="00590E25">
        <w:rPr>
          <w:rStyle w:val="font-secondaire"/>
        </w:rPr>
        <w:t> </w:t>
      </w:r>
      <w:r w:rsidR="00DD567F" w:rsidRPr="00590E25">
        <w:rPr>
          <w:rStyle w:val="font-secondaire"/>
        </w:rPr>
        <w:t>276 tonnes de ferraille, 48</w:t>
      </w:r>
      <w:r w:rsidR="00590E25">
        <w:rPr>
          <w:rStyle w:val="font-secondaire"/>
        </w:rPr>
        <w:t> </w:t>
      </w:r>
      <w:r w:rsidR="00DD567F" w:rsidRPr="00590E25">
        <w:rPr>
          <w:rStyle w:val="font-secondaire"/>
        </w:rPr>
        <w:t>387 tonnes de métaux non ferreux, 95</w:t>
      </w:r>
      <w:r w:rsidR="00590E25">
        <w:rPr>
          <w:rStyle w:val="font-secondaire"/>
        </w:rPr>
        <w:t> </w:t>
      </w:r>
      <w:r w:rsidR="00DD567F" w:rsidRPr="00590E25">
        <w:rPr>
          <w:rStyle w:val="font-secondaire"/>
        </w:rPr>
        <w:t>858 tonnes de plastique et 152</w:t>
      </w:r>
      <w:r w:rsidR="00590E25">
        <w:rPr>
          <w:rStyle w:val="font-secondaire"/>
        </w:rPr>
        <w:t> </w:t>
      </w:r>
      <w:r w:rsidR="00DD567F" w:rsidRPr="00590E25">
        <w:rPr>
          <w:rStyle w:val="font-secondaire"/>
        </w:rPr>
        <w:t>479 tonnes d’autres matières</w:t>
      </w:r>
      <w:r w:rsidR="00590E25">
        <w:rPr>
          <w:rStyle w:val="font-secondaire"/>
        </w:rPr>
        <w:t xml:space="preserve"> [</w:t>
      </w:r>
      <w:r w:rsidR="00863BD5">
        <w:rPr>
          <w:rStyle w:val="font-secondaire"/>
        </w:rPr>
        <w:t>23</w:t>
      </w:r>
      <w:r w:rsidR="00590E25">
        <w:rPr>
          <w:rStyle w:val="font-secondaire"/>
        </w:rPr>
        <w:t>]</w:t>
      </w:r>
      <w:r>
        <w:rPr>
          <w:rStyle w:val="font-secondaire"/>
        </w:rPr>
        <w:t xml:space="preserve"> [</w:t>
      </w:r>
      <w:r w:rsidR="00863BD5">
        <w:rPr>
          <w:rStyle w:val="font-secondaire"/>
        </w:rPr>
        <w:t>24</w:t>
      </w:r>
      <w:r>
        <w:rPr>
          <w:rStyle w:val="font-secondaire"/>
        </w:rPr>
        <w:t>]</w:t>
      </w:r>
      <w:r w:rsidR="00590E25">
        <w:rPr>
          <w:rStyle w:val="font-secondaire"/>
        </w:rPr>
        <w:t>.</w:t>
      </w:r>
    </w:p>
    <w:p w14:paraId="1C9024FA" w14:textId="77777777" w:rsidR="0077047D" w:rsidRDefault="00F03079" w:rsidP="00F03079">
      <w:pPr>
        <w:pStyle w:val="Sansinterligne"/>
        <w:rPr>
          <w:rStyle w:val="font-secondaire"/>
        </w:rPr>
      </w:pPr>
      <w:r>
        <w:rPr>
          <w:noProof/>
          <w:lang w:eastAsia="fr-FR"/>
        </w:rPr>
        <w:drawing>
          <wp:inline distT="0" distB="0" distL="0" distR="0" wp14:anchorId="5D55E03B" wp14:editId="42880F79">
            <wp:extent cx="3095625" cy="1800171"/>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ogression des collectes pour les DEEE ménagers 2006 à 2019.png"/>
                    <pic:cNvPicPr/>
                  </pic:nvPicPr>
                  <pic:blipFill rotWithShape="1">
                    <a:blip r:embed="rId25">
                      <a:extLst>
                        <a:ext uri="{28A0092B-C50C-407E-A947-70E740481C1C}">
                          <a14:useLocalDpi xmlns:a14="http://schemas.microsoft.com/office/drawing/2010/main" val="0"/>
                        </a:ext>
                      </a:extLst>
                    </a:blip>
                    <a:srcRect t="5987" r="2920"/>
                    <a:stretch/>
                  </pic:blipFill>
                  <pic:spPr bwMode="auto">
                    <a:xfrm>
                      <a:off x="0" y="0"/>
                      <a:ext cx="3132606" cy="18216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r w:rsidR="00793828">
        <w:rPr>
          <w:rStyle w:val="font-secondaire"/>
          <w:noProof/>
          <w:lang w:eastAsia="fr-FR"/>
        </w:rPr>
        <w:drawing>
          <wp:inline distT="0" distB="0" distL="0" distR="0" wp14:anchorId="78C67F34" wp14:editId="720ADD75">
            <wp:extent cx="2867025" cy="1800167"/>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4353"/>
                    <a:stretch/>
                  </pic:blipFill>
                  <pic:spPr bwMode="auto">
                    <a:xfrm>
                      <a:off x="0" y="0"/>
                      <a:ext cx="2890247" cy="181474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60E74018" w14:textId="77777777" w:rsidR="00590E25" w:rsidRDefault="00590E25" w:rsidP="00590E25">
      <w:pPr>
        <w:pStyle w:val="Lgende"/>
      </w:pPr>
      <w:r>
        <w:t xml:space="preserve">Figure </w:t>
      </w:r>
      <w:r w:rsidR="009E14BA">
        <w:rPr>
          <w:noProof/>
        </w:rPr>
        <w:fldChar w:fldCharType="begin"/>
      </w:r>
      <w:r w:rsidR="00F97432">
        <w:rPr>
          <w:noProof/>
        </w:rPr>
        <w:instrText xml:space="preserve"> SEQ Figure \* ARABIC </w:instrText>
      </w:r>
      <w:r w:rsidR="009E14BA">
        <w:rPr>
          <w:noProof/>
        </w:rPr>
        <w:fldChar w:fldCharType="separate"/>
      </w:r>
      <w:r w:rsidR="00C64908">
        <w:rPr>
          <w:noProof/>
        </w:rPr>
        <w:t>15</w:t>
      </w:r>
      <w:r w:rsidR="009E14BA">
        <w:rPr>
          <w:noProof/>
        </w:rPr>
        <w:fldChar w:fldCharType="end"/>
      </w:r>
      <w:r>
        <w:t> : Progression des collectes pour les DEEE ménagers</w:t>
      </w:r>
      <w:r w:rsidR="00793828">
        <w:t xml:space="preserve"> </w:t>
      </w:r>
      <w:r w:rsidR="00F03079">
        <w:t xml:space="preserve">de </w:t>
      </w:r>
      <w:r w:rsidR="00793828">
        <w:t>2006 à 2019</w:t>
      </w:r>
      <w:r>
        <w:t xml:space="preserve"> et professionnels de</w:t>
      </w:r>
      <w:r w:rsidR="00793828">
        <w:t xml:space="preserve"> 2012</w:t>
      </w:r>
      <w:r>
        <w:t xml:space="preserve"> à 2019</w:t>
      </w:r>
      <w:r w:rsidR="00793828">
        <w:t xml:space="preserve"> [tonnes]</w:t>
      </w:r>
      <w:r>
        <w:t>, source [</w:t>
      </w:r>
      <w:r w:rsidR="00863BD5">
        <w:t>24</w:t>
      </w:r>
      <w:r>
        <w:t>]</w:t>
      </w:r>
    </w:p>
    <w:p w14:paraId="2292B82E" w14:textId="77777777" w:rsidR="00F03079" w:rsidRPr="00F03079" w:rsidRDefault="00F03079" w:rsidP="00F03079">
      <w:pPr>
        <w:pStyle w:val="Sansinterligne"/>
      </w:pPr>
      <w:r>
        <w:rPr>
          <w:noProof/>
          <w:lang w:eastAsia="fr-FR"/>
        </w:rPr>
        <w:drawing>
          <wp:inline distT="0" distB="0" distL="0" distR="0" wp14:anchorId="25DEBD2E" wp14:editId="6D0C41EF">
            <wp:extent cx="3113405" cy="1787909"/>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gression des collectes d’ampoules de 2006 à 2019.png"/>
                    <pic:cNvPicPr/>
                  </pic:nvPicPr>
                  <pic:blipFill rotWithShape="1">
                    <a:blip r:embed="rId27">
                      <a:extLst>
                        <a:ext uri="{28A0092B-C50C-407E-A947-70E740481C1C}">
                          <a14:useLocalDpi xmlns:a14="http://schemas.microsoft.com/office/drawing/2010/main" val="0"/>
                        </a:ext>
                      </a:extLst>
                    </a:blip>
                    <a:srcRect t="7162" r="2789"/>
                    <a:stretch/>
                  </pic:blipFill>
                  <pic:spPr bwMode="auto">
                    <a:xfrm>
                      <a:off x="0" y="0"/>
                      <a:ext cx="3139355" cy="18028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inline>
        </w:drawing>
      </w:r>
    </w:p>
    <w:p w14:paraId="71B07FEB" w14:textId="65C1B203" w:rsidR="00F03079" w:rsidRDefault="00F03079" w:rsidP="00F03079">
      <w:pPr>
        <w:pStyle w:val="Lgende"/>
      </w:pPr>
      <w:r>
        <w:t xml:space="preserve">Figure </w:t>
      </w:r>
      <w:r w:rsidR="009E14BA">
        <w:rPr>
          <w:noProof/>
        </w:rPr>
        <w:fldChar w:fldCharType="begin"/>
      </w:r>
      <w:r w:rsidR="00F97432">
        <w:rPr>
          <w:noProof/>
        </w:rPr>
        <w:instrText xml:space="preserve"> SEQ Figure \* ARABIC </w:instrText>
      </w:r>
      <w:r w:rsidR="009E14BA">
        <w:rPr>
          <w:noProof/>
        </w:rPr>
        <w:fldChar w:fldCharType="separate"/>
      </w:r>
      <w:r w:rsidR="00C64908">
        <w:rPr>
          <w:noProof/>
        </w:rPr>
        <w:t>16</w:t>
      </w:r>
      <w:r w:rsidR="009E14BA">
        <w:rPr>
          <w:noProof/>
        </w:rPr>
        <w:fldChar w:fldCharType="end"/>
      </w:r>
      <w:r>
        <w:t xml:space="preserve"> : Progression des collectes d’ampoules de 2006 à 2019 </w:t>
      </w:r>
      <w:r w:rsidR="00F75BB2">
        <w:t>[</w:t>
      </w:r>
      <w:r>
        <w:t>tonnes], source [</w:t>
      </w:r>
      <w:r w:rsidR="00863BD5">
        <w:t>24</w:t>
      </w:r>
      <w:r>
        <w:t>]</w:t>
      </w:r>
    </w:p>
    <w:p w14:paraId="1B2857F4" w14:textId="77777777" w:rsidR="006142A7" w:rsidRDefault="009E2AED" w:rsidP="006142A7">
      <w:proofErr w:type="spellStart"/>
      <w:r w:rsidRPr="00327B2A">
        <w:rPr>
          <w:i/>
        </w:rPr>
        <w:t>Ecosystem</w:t>
      </w:r>
      <w:proofErr w:type="spellEnd"/>
      <w:r w:rsidR="008C1C77">
        <w:rPr>
          <w:rStyle w:val="Appelnotedebasdep"/>
          <w:i/>
        </w:rPr>
        <w:footnoteReference w:id="3"/>
      </w:r>
      <w:r w:rsidRPr="00327B2A">
        <w:rPr>
          <w:i/>
        </w:rPr>
        <w:t xml:space="preserve"> </w:t>
      </w:r>
      <w:r>
        <w:t>indique que le taux moyen de recyclage d’un DEEE ménager sous forme de nouvelles matières premières est de 75,8%, il est de 87,6% pour les ampoules.</w:t>
      </w:r>
    </w:p>
    <w:p w14:paraId="75C2EF99" w14:textId="77777777" w:rsidR="00A1146E" w:rsidRDefault="009E2AED" w:rsidP="006142A7">
      <w:r>
        <w:t xml:space="preserve">Certains appareils sont réduits à l’état de </w:t>
      </w:r>
      <w:r w:rsidR="006142A7">
        <w:t>déchets d’équipement électrique ou électronique</w:t>
      </w:r>
      <w:r>
        <w:t xml:space="preserve"> alors qu’ils pourraient être réparés. </w:t>
      </w:r>
      <w:r w:rsidR="006142A7">
        <w:t>U</w:t>
      </w:r>
      <w:r>
        <w:t xml:space="preserve">ne enquête </w:t>
      </w:r>
      <w:proofErr w:type="spellStart"/>
      <w:r w:rsidRPr="00327B2A">
        <w:rPr>
          <w:i/>
        </w:rPr>
        <w:t>Elabe</w:t>
      </w:r>
      <w:proofErr w:type="spellEnd"/>
      <w:r>
        <w:t xml:space="preserve"> indique qu’en 2019, 24% des consommateurs (soit 9 millions de français) n’ont pas pu réparer un équipement électrique ou électronique</w:t>
      </w:r>
      <w:r w:rsidR="006142A7">
        <w:t>,</w:t>
      </w:r>
      <w:r>
        <w:t xml:space="preserve"> ou </w:t>
      </w:r>
      <w:r w:rsidR="006142A7">
        <w:t>n</w:t>
      </w:r>
      <w:r>
        <w:t>’ont pas eu le réflexe de la réparation [</w:t>
      </w:r>
      <w:r w:rsidR="00863BD5">
        <w:t>22</w:t>
      </w:r>
      <w:r>
        <w:t>].</w:t>
      </w:r>
      <w:r w:rsidR="006142A7">
        <w:t xml:space="preserve"> L’amélioration des circuits de réparation est une piste dans le sens de la so</w:t>
      </w:r>
      <w:r w:rsidR="00A1146E">
        <w:t>briété,</w:t>
      </w:r>
      <w:r w:rsidR="008B5E48">
        <w:t xml:space="preserve"> </w:t>
      </w:r>
      <w:proofErr w:type="gramStart"/>
      <w:r w:rsidR="00A1146E">
        <w:t>réparer</w:t>
      </w:r>
      <w:proofErr w:type="gramEnd"/>
      <w:r w:rsidR="00A1146E">
        <w:t xml:space="preserve"> avant de jeter.</w:t>
      </w:r>
      <w:r w:rsidR="00167CDA">
        <w:t xml:space="preserve"> Encore faut–il pouvoir le faire, beaucoup d’équipements électrique</w:t>
      </w:r>
      <w:r w:rsidR="00476A62">
        <w:t>s</w:t>
      </w:r>
      <w:r w:rsidR="00167CDA">
        <w:t xml:space="preserve"> ou électronique</w:t>
      </w:r>
      <w:r w:rsidR="00476A62">
        <w:t>s</w:t>
      </w:r>
      <w:r w:rsidR="00167CDA">
        <w:t xml:space="preserve"> n’ont pas de suivi de pièces détachées, et la réparation peut alors être plus onéreuse qu’un achat neuf. Lors d’un achat</w:t>
      </w:r>
      <w:r w:rsidR="00476A62">
        <w:t>,</w:t>
      </w:r>
      <w:r w:rsidR="00167CDA">
        <w:t xml:space="preserve"> </w:t>
      </w:r>
      <w:r w:rsidR="00476A62">
        <w:t xml:space="preserve">des </w:t>
      </w:r>
      <w:r w:rsidR="00167CDA">
        <w:t>information</w:t>
      </w:r>
      <w:r w:rsidR="00476A62">
        <w:t>s complètes</w:t>
      </w:r>
      <w:r w:rsidR="00167CDA">
        <w:t xml:space="preserve"> sur la </w:t>
      </w:r>
      <w:r w:rsidR="00167CDA">
        <w:lastRenderedPageBreak/>
        <w:t xml:space="preserve">possibilité de réparer </w:t>
      </w:r>
      <w:r w:rsidR="00476A62">
        <w:t xml:space="preserve">sont </w:t>
      </w:r>
      <w:r w:rsidR="00167CDA">
        <w:t>nécessaire</w:t>
      </w:r>
      <w:r w:rsidR="00476A62">
        <w:t>s alors qu’actuellement, la communication se limite généralement dans le meilleur des cas, à fournir la durée de mise à disposition de pièces de rechange.</w:t>
      </w:r>
    </w:p>
    <w:p w14:paraId="526EB71E" w14:textId="77777777" w:rsidR="00167CDA" w:rsidRDefault="00167CDA" w:rsidP="006142A7">
      <w:r>
        <w:t xml:space="preserve">Un décret en conseil d’Etat concernant l’indice de réparabilité obligatoire pour les produits électriques et électronique </w:t>
      </w:r>
      <w:r w:rsidR="00D45407">
        <w:t>entre en vigueur le 1</w:t>
      </w:r>
      <w:r w:rsidR="00D45407" w:rsidRPr="00D45407">
        <w:rPr>
          <w:vertAlign w:val="superscript"/>
        </w:rPr>
        <w:t>er</w:t>
      </w:r>
      <w:r w:rsidR="00D45407">
        <w:t xml:space="preserve"> janvier 2021</w:t>
      </w:r>
      <w:r>
        <w:t>, dont voici le contexte et les objectifs [</w:t>
      </w:r>
      <w:r w:rsidR="00863BD5">
        <w:t>25</w:t>
      </w:r>
      <w:r>
        <w:t>] :</w:t>
      </w:r>
    </w:p>
    <w:p w14:paraId="7C73E185" w14:textId="77777777" w:rsidR="00167CDA" w:rsidRPr="00167CDA" w:rsidRDefault="00A1146E" w:rsidP="006142A7">
      <w:pPr>
        <w:rPr>
          <w:i/>
        </w:rPr>
      </w:pPr>
      <w:r w:rsidRPr="00167CDA">
        <w:rPr>
          <w:i/>
        </w:rPr>
        <w:t>La loi relative à la lutte contre le gaspillage et à l’économie circulaire du 10 février 2020 prévoit dans son article 16-I la création d’un nouvel article L541-9-2 du code de l’environnement prévoyant que les producteurs, importateurs, distributeurs ou autres metteurs sur le marché d’équipements électriques et électroniques communiquent sans frais aux vendeurs de leurs produits ainsi qu’à toute personne qui en fait la demande l’indice de réparabilité de ces équipements ainsi que les paramètres ayant permis de l’établir. Cet indice vise à informer le consommateur sur la capacité à réparer le produit concerné. Les vendeurs d’équipements électriques et électroniques ainsi que ceux utilisant un site internet, une plateforme ou toute autre voie de distribution en ligne dans le cadre de leur activité commerciale en France informent sans frais le consommateur, au moment de l’acte d’achat, par voie de marquage, d’étiquetage, d’affichage ou par tout autre procédé approprié de l’indice de réparabilité de ces équipements.</w:t>
      </w:r>
    </w:p>
    <w:p w14:paraId="049FB38A" w14:textId="77777777" w:rsidR="00F03079" w:rsidRDefault="006142A7" w:rsidP="006142A7">
      <w:r>
        <w:t xml:space="preserve"> </w:t>
      </w:r>
      <w:r w:rsidR="00D45407">
        <w:t>Au 1</w:t>
      </w:r>
      <w:r w:rsidR="00D45407" w:rsidRPr="00D45407">
        <w:rPr>
          <w:vertAlign w:val="superscript"/>
        </w:rPr>
        <w:t>er</w:t>
      </w:r>
      <w:r w:rsidR="00D45407">
        <w:t xml:space="preserve"> janvier 2021, un premier étiquetage via un indice visible concerne les smartphones, ordinateurs portables, téléviseurs, lave-linge et tondeuses à gazon. L’étiquetage doit ensuite être déployé vers les autres appareils électrique ou électronique [</w:t>
      </w:r>
      <w:r w:rsidR="000D3691">
        <w:t>26</w:t>
      </w:r>
      <w:r w:rsidR="00D45407">
        <w:t>].</w:t>
      </w:r>
      <w:r w:rsidR="00476A62">
        <w:t xml:space="preserve"> Un site web, répertoriant les appareils commercialisés, est en cours de construction</w:t>
      </w:r>
      <w:r w:rsidR="002C774C">
        <w:t xml:space="preserve"> [</w:t>
      </w:r>
      <w:r w:rsidR="000D3691">
        <w:t>27</w:t>
      </w:r>
      <w:r w:rsidR="002C774C">
        <w:t>]</w:t>
      </w:r>
      <w:r w:rsidR="00476A62">
        <w:t>.</w:t>
      </w:r>
    </w:p>
    <w:p w14:paraId="7DB7714C" w14:textId="77777777" w:rsidR="00D45407" w:rsidRDefault="00D45407" w:rsidP="00D45407">
      <w:pPr>
        <w:pStyle w:val="Sansinterligne"/>
      </w:pPr>
      <w:r>
        <w:rPr>
          <w:noProof/>
          <w:lang w:eastAsia="fr-FR"/>
        </w:rPr>
        <w:drawing>
          <wp:inline distT="0" distB="0" distL="0" distR="0" wp14:anchorId="0A4A5ED2" wp14:editId="62244E77">
            <wp:extent cx="3583359" cy="134302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ndice réparabilité.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37902" cy="1363467"/>
                    </a:xfrm>
                    <a:prstGeom prst="rect">
                      <a:avLst/>
                    </a:prstGeom>
                  </pic:spPr>
                </pic:pic>
              </a:graphicData>
            </a:graphic>
          </wp:inline>
        </w:drawing>
      </w:r>
    </w:p>
    <w:p w14:paraId="01826B59" w14:textId="77777777" w:rsidR="00D45407" w:rsidRPr="00F03079" w:rsidRDefault="00D45407" w:rsidP="00D45407">
      <w:pPr>
        <w:pStyle w:val="Lgende"/>
      </w:pPr>
      <w:r>
        <w:t xml:space="preserve">Figure </w:t>
      </w:r>
      <w:r w:rsidR="009E14BA">
        <w:rPr>
          <w:noProof/>
        </w:rPr>
        <w:fldChar w:fldCharType="begin"/>
      </w:r>
      <w:r w:rsidR="00F97432">
        <w:rPr>
          <w:noProof/>
        </w:rPr>
        <w:instrText xml:space="preserve"> SEQ Figure \* ARABIC </w:instrText>
      </w:r>
      <w:r w:rsidR="009E14BA">
        <w:rPr>
          <w:noProof/>
        </w:rPr>
        <w:fldChar w:fldCharType="separate"/>
      </w:r>
      <w:r w:rsidR="00C64908">
        <w:rPr>
          <w:noProof/>
        </w:rPr>
        <w:t>17</w:t>
      </w:r>
      <w:r w:rsidR="009E14BA">
        <w:rPr>
          <w:noProof/>
        </w:rPr>
        <w:fldChar w:fldCharType="end"/>
      </w:r>
      <w:r>
        <w:t> :</w:t>
      </w:r>
      <w:r w:rsidR="00327B2A">
        <w:t xml:space="preserve"> Cinq </w:t>
      </w:r>
      <w:r>
        <w:t>indices de réparabilité au 1</w:t>
      </w:r>
      <w:r w:rsidRPr="00D45407">
        <w:rPr>
          <w:vertAlign w:val="superscript"/>
        </w:rPr>
        <w:t>e</w:t>
      </w:r>
      <w:r>
        <w:t xml:space="preserve"> janvier </w:t>
      </w:r>
      <w:r w:rsidR="002C774C">
        <w:t>2021</w:t>
      </w:r>
      <w:r>
        <w:t>, source [</w:t>
      </w:r>
      <w:r w:rsidR="000D3691">
        <w:t>26</w:t>
      </w:r>
      <w:r>
        <w:t>]</w:t>
      </w:r>
    </w:p>
    <w:p w14:paraId="035CD6D4" w14:textId="77777777" w:rsidR="00D45407" w:rsidRDefault="00D45407" w:rsidP="00D45407">
      <w:pPr>
        <w:pStyle w:val="Titre2"/>
      </w:pPr>
      <w:r>
        <w:t xml:space="preserve">5.3 – Seconde </w:t>
      </w:r>
      <w:r w:rsidR="002B4106">
        <w:t>vie, où en est-on ?</w:t>
      </w:r>
    </w:p>
    <w:p w14:paraId="1BAA3DEA" w14:textId="77777777" w:rsidR="00AB6D01" w:rsidRDefault="00065204" w:rsidP="00AB6D01">
      <w:r>
        <w:t xml:space="preserve">La seconde vie des appareils ne semble concerner que ceux qui ont une valeur marchande, en particulier les </w:t>
      </w:r>
      <w:r w:rsidR="00EB72CD">
        <w:t>smartphones</w:t>
      </w:r>
      <w:r w:rsidR="00FE2F11">
        <w:t xml:space="preserve"> ainsi que, depuis beaucoup plus longtemps, les automobiles</w:t>
      </w:r>
      <w:r w:rsidR="00497AAA">
        <w:t>. Ces appareils en état de fonctionnement sont rach</w:t>
      </w:r>
      <w:r w:rsidR="004829B6">
        <w:t xml:space="preserve">etés, </w:t>
      </w:r>
      <w:r w:rsidR="00FE2F11">
        <w:t xml:space="preserve">le cas échéant </w:t>
      </w:r>
      <w:r w:rsidR="008B5E48">
        <w:t>réparés</w:t>
      </w:r>
      <w:r w:rsidR="00FE2F11">
        <w:t xml:space="preserve">, </w:t>
      </w:r>
      <w:r w:rsidR="004829B6">
        <w:t xml:space="preserve">reconditionnés </w:t>
      </w:r>
      <w:r w:rsidR="00FE2F11">
        <w:t>puis remis sur le marché</w:t>
      </w:r>
      <w:r w:rsidR="004829B6">
        <w:t>.</w:t>
      </w:r>
      <w:r w:rsidR="00FE2F11">
        <w:t xml:space="preserve"> Pour les autres appareils encore en état de marche ou sujet à des défaillances modestes, il existe un marché de seconde vie (ou plus) de particulier à particulier.</w:t>
      </w:r>
    </w:p>
    <w:p w14:paraId="6D15F023" w14:textId="77777777" w:rsidR="004829B6" w:rsidRDefault="008B5E48" w:rsidP="00AB6D01">
      <w:r>
        <w:t xml:space="preserve">Une étude de février </w:t>
      </w:r>
      <w:r w:rsidR="00FE2F11">
        <w:t>2020</w:t>
      </w:r>
      <w:r>
        <w:t xml:space="preserve"> indique  que </w:t>
      </w:r>
      <w:r w:rsidR="00FE2F11">
        <w:t>l</w:t>
      </w:r>
      <w:r w:rsidR="00664EF6">
        <w:t>es français changent de téléphone mobile en moyenne tous les 2 ans, et dans près de 90% des cas, le téléphone abandonné fonctionne encore</w:t>
      </w:r>
      <w:r>
        <w:t>.</w:t>
      </w:r>
      <w:r w:rsidR="00664EF6">
        <w:t xml:space="preserve"> 100 millions de téléphones mobiles dormiraient </w:t>
      </w:r>
      <w:r w:rsidR="00FE2F11">
        <w:t xml:space="preserve">ainsi </w:t>
      </w:r>
      <w:r w:rsidR="00664EF6">
        <w:t>dans les tiroirs français</w:t>
      </w:r>
      <w:r w:rsidR="00547456">
        <w:t>.</w:t>
      </w:r>
      <w:r w:rsidR="00664EF6">
        <w:t xml:space="preserve"> </w:t>
      </w:r>
      <w:r w:rsidR="004829B6">
        <w:t>Il se vend</w:t>
      </w:r>
      <w:r w:rsidR="00664EF6">
        <w:t xml:space="preserve"> chaque année 20 millions de smartphones en France, </w:t>
      </w:r>
      <w:r w:rsidR="00F97432">
        <w:t xml:space="preserve">en 2019 </w:t>
      </w:r>
      <w:r w:rsidR="00664EF6">
        <w:t>2</w:t>
      </w:r>
      <w:r w:rsidR="00F97432">
        <w:t>,2 </w:t>
      </w:r>
      <w:r w:rsidR="00664EF6">
        <w:t xml:space="preserve">millions d’entre eux </w:t>
      </w:r>
      <w:r w:rsidR="00F97432">
        <w:t>étaien</w:t>
      </w:r>
      <w:r w:rsidR="00664EF6">
        <w:t>t des appareils reconditionnés soit seulement 10</w:t>
      </w:r>
      <w:r w:rsidR="00F97432">
        <w:t>,5</w:t>
      </w:r>
      <w:r w:rsidR="00664EF6">
        <w:t>% des ventes</w:t>
      </w:r>
      <w:r w:rsidR="00F97432">
        <w:t xml:space="preserve"> mais </w:t>
      </w:r>
      <w:r w:rsidR="002C774C">
        <w:t xml:space="preserve">en progression par rapport à 2018 où cette proportion n’était que de </w:t>
      </w:r>
      <w:r w:rsidR="00F97432">
        <w:t>4,4% [</w:t>
      </w:r>
      <w:r w:rsidR="000D3691">
        <w:t>28</w:t>
      </w:r>
      <w:r w:rsidR="00F97432">
        <w:t>]</w:t>
      </w:r>
      <w:r w:rsidR="00664EF6">
        <w:t>. Or l’impact environnemental d’un smartphone</w:t>
      </w:r>
      <w:r w:rsidR="00FE2F11">
        <w:t xml:space="preserve"> sur son cycle de vie</w:t>
      </w:r>
      <w:r w:rsidR="00664EF6">
        <w:t xml:space="preserve"> est très largement dû à sa production et à sa distribution</w:t>
      </w:r>
      <w:r w:rsidR="00FE2F11">
        <w:t xml:space="preserve"> (énergie grise supérieure à l’énergie qu’il a consommée durant toute sa vie, d’autant plus qu’elle est courte)</w:t>
      </w:r>
      <w:r w:rsidR="00664EF6">
        <w:t xml:space="preserve">. </w:t>
      </w:r>
    </w:p>
    <w:p w14:paraId="7DAA5D1E" w14:textId="77777777" w:rsidR="00D761FB" w:rsidRDefault="00D761FB" w:rsidP="00AB6D01">
      <w:r>
        <w:lastRenderedPageBreak/>
        <w:t xml:space="preserve">Une enquête annuelle de </w:t>
      </w:r>
      <w:proofErr w:type="spellStart"/>
      <w:r w:rsidRPr="00D761FB">
        <w:rPr>
          <w:i/>
        </w:rPr>
        <w:t>Kantar</w:t>
      </w:r>
      <w:proofErr w:type="spellEnd"/>
      <w:r w:rsidRPr="00D761FB">
        <w:rPr>
          <w:i/>
        </w:rPr>
        <w:t xml:space="preserve"> TNS pour </w:t>
      </w:r>
      <w:proofErr w:type="spellStart"/>
      <w:r w:rsidRPr="00D761FB">
        <w:rPr>
          <w:i/>
        </w:rPr>
        <w:t>Recommerce</w:t>
      </w:r>
      <w:proofErr w:type="spellEnd"/>
      <w:r>
        <w:t xml:space="preserve"> de février 2020 [</w:t>
      </w:r>
      <w:r w:rsidR="000D3691">
        <w:t>29</w:t>
      </w:r>
      <w:r>
        <w:t xml:space="preserve">] indique que </w:t>
      </w:r>
      <w:r w:rsidR="007138C2">
        <w:t>58</w:t>
      </w:r>
      <w:r>
        <w:t xml:space="preserve">% des </w:t>
      </w:r>
      <w:r w:rsidR="00FE2F11">
        <w:t xml:space="preserve">Français </w:t>
      </w:r>
      <w:r w:rsidR="002C774C">
        <w:t xml:space="preserve">seraient prêts </w:t>
      </w:r>
      <w:r w:rsidR="007138C2">
        <w:t>acheter</w:t>
      </w:r>
      <w:r>
        <w:t xml:space="preserve"> un smartphone </w:t>
      </w:r>
      <w:r w:rsidR="007138C2">
        <w:t>reconditionné, contre 54</w:t>
      </w:r>
      <w:r>
        <w:t>% selon l’enquête 2019</w:t>
      </w:r>
      <w:r w:rsidR="007138C2">
        <w:t>, ce taux monte à 63% dans la tranche d’âge 16-34 ans.</w:t>
      </w:r>
      <w:r>
        <w:t xml:space="preserve"> Actuellement 26% des possesseurs français de téléphone mobile ont un appareil d’occasion </w:t>
      </w:r>
      <w:r w:rsidR="007138C2">
        <w:t xml:space="preserve">(+2% par rapport à 2019) </w:t>
      </w:r>
      <w:r>
        <w:t>et le taux monte à 34% pour la tranche d’âge des 16-34 ans.</w:t>
      </w:r>
      <w:r w:rsidR="007138C2">
        <w:t xml:space="preserve"> Les motifs d’un achat reconditionnés seraient le coût à 62%, et le recyclage et le réemploi à 27% (contre 22% en 2019).</w:t>
      </w:r>
    </w:p>
    <w:p w14:paraId="0BC34DCC" w14:textId="51F22D4F" w:rsidR="000D3691" w:rsidRDefault="00403835" w:rsidP="007738BE">
      <w:r>
        <w:t>L’ordinateur portable est un équipement qui s’est généralisé d’autant plus avec le déploiement du télétravail accéléré en 2020 par les temps de confinement.</w:t>
      </w:r>
      <w:r w:rsidR="00F071A5" w:rsidRPr="00F071A5">
        <w:t xml:space="preserve"> </w:t>
      </w:r>
      <w:r w:rsidR="00F071A5">
        <w:t>Fabriquer un ordinateur portable de 2kg nécessite</w:t>
      </w:r>
      <w:r w:rsidR="00062F0F">
        <w:t xml:space="preserve"> </w:t>
      </w:r>
      <w:r w:rsidR="00992FF9">
        <w:t>environ 500g de polymères, autant de métaux (acier, aluminium,…), 150g de verre, 260g de PCB (polychlorobiphényles) même masse que la batterie, et 350 g d’autres comp</w:t>
      </w:r>
      <w:r w:rsidR="00062F0F">
        <w:t>o</w:t>
      </w:r>
      <w:r w:rsidR="00992FF9">
        <w:t>sants (haut-parleurs, câbles, lampes, composants électroniques</w:t>
      </w:r>
      <w:r w:rsidR="00062F0F">
        <w:t>,</w:t>
      </w:r>
      <w:r w:rsidR="00992FF9">
        <w:t>…)</w:t>
      </w:r>
      <w:r w:rsidR="00062F0F">
        <w:t xml:space="preserve">. Les câbles d’alimentation sont composés de polymères (76%) et de cuivre (24%) </w:t>
      </w:r>
      <w:r w:rsidR="00F071A5">
        <w:t>[30]. </w:t>
      </w:r>
      <w:r w:rsidR="00062F0F">
        <w:t>Les métaux sont extraits de plusieurs centaines de kilogrammes de minerais et produire un ordinateur portable nécessite également de l’eau (environ 1500l), des produits chimiques</w:t>
      </w:r>
      <w:r w:rsidR="00875A60">
        <w:t>, de l’énergie,</w:t>
      </w:r>
      <w:r w:rsidR="00062F0F">
        <w:t> </w:t>
      </w:r>
      <w:r w:rsidR="00875A60">
        <w:t>etc.</w:t>
      </w:r>
    </w:p>
    <w:p w14:paraId="5E8C555D" w14:textId="77777777" w:rsidR="00403835" w:rsidRDefault="00403835" w:rsidP="00403835">
      <w:r>
        <w:t xml:space="preserve">Sur </w:t>
      </w:r>
      <w:r w:rsidR="00E02FE7">
        <w:t xml:space="preserve">un </w:t>
      </w:r>
      <w:r>
        <w:t>cycle de vie d’un ordinateur portable</w:t>
      </w:r>
      <w:r w:rsidR="00E02FE7">
        <w:t xml:space="preserve"> d’une durée d’environ 5 ans</w:t>
      </w:r>
      <w:r>
        <w:t>, sa fabrication concentre 70% de l’empreinte environnemental</w:t>
      </w:r>
      <w:r w:rsidR="008F4030">
        <w:t>e</w:t>
      </w:r>
      <w:r w:rsidR="004A57B9">
        <w:t>. Un ordinateur reconditionné, c’est-à-dire testé, nettoyé et pièces changées si nécessaire, est en moyenne 30% moins onéreux qu’un appareil neuf. On estime qu’au moins la moitié du parc mondial informatique pourrait voir ainsi leur durée de vie prolongé</w:t>
      </w:r>
      <w:r w:rsidR="008F4030">
        <w:t>e</w:t>
      </w:r>
      <w:r w:rsidR="004A57B9">
        <w:t xml:space="preserve"> et la planète</w:t>
      </w:r>
      <w:r w:rsidR="0021320F">
        <w:t xml:space="preserve"> un peu </w:t>
      </w:r>
      <w:r w:rsidR="004A57B9">
        <w:t>épargnée</w:t>
      </w:r>
      <w:r w:rsidR="00B57C4C">
        <w:t xml:space="preserve"> [</w:t>
      </w:r>
      <w:r w:rsidR="00875A60">
        <w:t>31</w:t>
      </w:r>
      <w:r w:rsidR="00B57C4C">
        <w:t>]</w:t>
      </w:r>
      <w:r w:rsidR="004A57B9">
        <w:t>.</w:t>
      </w:r>
      <w:r w:rsidR="00E02FE7">
        <w:t xml:space="preserve"> </w:t>
      </w:r>
      <w:r w:rsidR="00773BDE">
        <w:t>L</w:t>
      </w:r>
      <w:r w:rsidR="00E02FE7">
        <w:t>es technologies évoluent rapidement</w:t>
      </w:r>
      <w:r w:rsidR="00773BDE">
        <w:t>,</w:t>
      </w:r>
      <w:r w:rsidR="00875A60">
        <w:t xml:space="preserve"> </w:t>
      </w:r>
      <w:r w:rsidR="00E02FE7">
        <w:t>les besoins en matériaux aussi. Par exemple la disparition progressive des disques durs mécaniques et magnétiques au profit des SSD (</w:t>
      </w:r>
      <w:proofErr w:type="spellStart"/>
      <w:r w:rsidR="00E02FE7">
        <w:t>solid</w:t>
      </w:r>
      <w:proofErr w:type="spellEnd"/>
      <w:r w:rsidR="00E02FE7">
        <w:t xml:space="preserve"> state </w:t>
      </w:r>
      <w:proofErr w:type="spellStart"/>
      <w:r w:rsidR="00E02FE7">
        <w:t>disks</w:t>
      </w:r>
      <w:proofErr w:type="spellEnd"/>
      <w:r w:rsidR="00E02FE7">
        <w:t xml:space="preserve">) conduit à la suppression des besoins en terres rares (néodyme et dysprosium </w:t>
      </w:r>
      <w:r w:rsidR="006F646D">
        <w:t>utilisés</w:t>
      </w:r>
      <w:r w:rsidR="00E02FE7">
        <w:t xml:space="preserve"> dans les actionneurs à aimants des premiers). </w:t>
      </w:r>
      <w:r w:rsidR="00773BDE">
        <w:t>S</w:t>
      </w:r>
      <w:r w:rsidR="00E02FE7">
        <w:t>’intéresse</w:t>
      </w:r>
      <w:r w:rsidR="00773BDE">
        <w:t>r</w:t>
      </w:r>
      <w:r w:rsidR="00E02FE7">
        <w:t xml:space="preserve"> à ces questions, </w:t>
      </w:r>
      <w:r w:rsidR="00773BDE">
        <w:t>nécessite de</w:t>
      </w:r>
      <w:r w:rsidR="00E02FE7">
        <w:t xml:space="preserve"> considérer les données les plus récentes, </w:t>
      </w:r>
      <w:r w:rsidR="00773BDE">
        <w:t>cependant</w:t>
      </w:r>
      <w:r w:rsidR="00E02FE7">
        <w:t xml:space="preserve"> les publications les plus récentes sont généralement fondées sur des données datant de 5 ans ou plus.</w:t>
      </w:r>
    </w:p>
    <w:p w14:paraId="48B3AAD9" w14:textId="77777777" w:rsidR="00EB72CD" w:rsidRDefault="00237DA5" w:rsidP="00237DA5">
      <w:pPr>
        <w:pStyle w:val="Titre1"/>
      </w:pPr>
      <w:r>
        <w:t>6 – Conclusion</w:t>
      </w:r>
    </w:p>
    <w:p w14:paraId="2FAE2D69" w14:textId="39B6CB1E" w:rsidR="00773BDE" w:rsidRDefault="00237DA5" w:rsidP="00237DA5">
      <w:r>
        <w:t>Est-il possible de diminuer notablement la pression sur les consommations de ressources primaires</w:t>
      </w:r>
      <w:r w:rsidR="00162D5D">
        <w:t xml:space="preserve"> et ainsi </w:t>
      </w:r>
      <w:r>
        <w:t xml:space="preserve">l’empreinte </w:t>
      </w:r>
      <w:r w:rsidR="0004186F">
        <w:t xml:space="preserve">écologique </w:t>
      </w:r>
      <w:r>
        <w:t>de l’humanité sur Terre ? Sans la sobriété</w:t>
      </w:r>
      <w:r w:rsidR="00162D5D">
        <w:t>, notamment</w:t>
      </w:r>
      <w:r>
        <w:t xml:space="preserve"> énergétique</w:t>
      </w:r>
      <w:r w:rsidR="00374A67">
        <w:t>, il est certain que non (</w:t>
      </w:r>
      <w:r w:rsidR="00BA3935">
        <w:t>sur la base des niveaux de consommation des pays développés</w:t>
      </w:r>
      <w:r w:rsidR="00374A67">
        <w:t>)</w:t>
      </w:r>
      <w:r w:rsidR="00EC1120">
        <w:t xml:space="preserve">. </w:t>
      </w:r>
      <w:r w:rsidR="00374A67">
        <w:t xml:space="preserve">En effet, l’accès </w:t>
      </w:r>
      <w:r w:rsidR="00EC1120">
        <w:t xml:space="preserve">de l’ensemble </w:t>
      </w:r>
      <w:r w:rsidR="00374A67">
        <w:t>de l’humanité</w:t>
      </w:r>
      <w:r w:rsidR="00EC1120">
        <w:t xml:space="preserve"> </w:t>
      </w:r>
      <w:r w:rsidR="00E83EC8">
        <w:t>au niveau</w:t>
      </w:r>
      <w:r w:rsidR="00EC1120">
        <w:t xml:space="preserve"> de vie des pays les plus dispendieux n’est pas </w:t>
      </w:r>
      <w:proofErr w:type="gramStart"/>
      <w:r w:rsidR="00EC1120">
        <w:t>soutenable</w:t>
      </w:r>
      <w:proofErr w:type="gramEnd"/>
      <w:r w:rsidR="00374A67">
        <w:t xml:space="preserve">. Ce </w:t>
      </w:r>
      <w:r w:rsidR="00DA6F7A">
        <w:t xml:space="preserve">sont </w:t>
      </w:r>
      <w:r w:rsidR="00F35B88">
        <w:t>les pays les plus riches</w:t>
      </w:r>
      <w:r w:rsidR="00DA6F7A">
        <w:t xml:space="preserve"> les premiers concernés par la sobriété</w:t>
      </w:r>
      <w:r>
        <w:t>.</w:t>
      </w:r>
    </w:p>
    <w:p w14:paraId="0EF133DA" w14:textId="06731004" w:rsidR="00237DA5" w:rsidRDefault="00EC1120" w:rsidP="00237DA5">
      <w:r>
        <w:t>L</w:t>
      </w:r>
      <w:r w:rsidR="00162D5D">
        <w:t xml:space="preserve">a soutenabilité de </w:t>
      </w:r>
      <w:r w:rsidR="00DA6F7A">
        <w:t xml:space="preserve">nos modes de vie </w:t>
      </w:r>
      <w:r w:rsidR="00162D5D">
        <w:t>repose sur l’exploitation raisonnable des sou</w:t>
      </w:r>
      <w:r w:rsidR="00B01B2A">
        <w:t>rces énergétiques renouvelables,</w:t>
      </w:r>
      <w:r w:rsidR="00162D5D">
        <w:t xml:space="preserve"> un partage équitable des ressources</w:t>
      </w:r>
      <w:r w:rsidR="00B01B2A">
        <w:t xml:space="preserve"> en matériaux de construction (métaux, biomasse et minéraux) et leur recyclage. Et c’est dans ce contexte que la sobriété interv</w:t>
      </w:r>
      <w:r w:rsidR="00C308CE">
        <w:t>ient</w:t>
      </w:r>
      <w:r w:rsidR="00B01B2A">
        <w:t>.</w:t>
      </w:r>
      <w:r w:rsidR="00162D5D">
        <w:t xml:space="preserve"> </w:t>
      </w:r>
      <w:r w:rsidR="00C308CE">
        <w:t>L</w:t>
      </w:r>
      <w:r w:rsidR="00B01B2A">
        <w:t xml:space="preserve">es pratiques individuelles jouent un rôle important, il est </w:t>
      </w:r>
      <w:r w:rsidR="00C308CE">
        <w:t>cependant</w:t>
      </w:r>
      <w:r w:rsidR="00B01B2A">
        <w:t xml:space="preserve"> nécessaire que les règles de fonctionnement </w:t>
      </w:r>
      <w:r w:rsidR="00DA6F7A">
        <w:t>des</w:t>
      </w:r>
      <w:r w:rsidR="00B01B2A">
        <w:t xml:space="preserve"> sociétés évoluent </w:t>
      </w:r>
      <w:r w:rsidR="00C308CE">
        <w:t>pour une accélération du</w:t>
      </w:r>
      <w:r w:rsidR="00B01B2A">
        <w:t xml:space="preserve"> mouvement.</w:t>
      </w:r>
    </w:p>
    <w:p w14:paraId="7A79F6CE" w14:textId="17311216" w:rsidR="00E97A1C" w:rsidRDefault="00CC0A17" w:rsidP="00237DA5">
      <w:r>
        <w:t>Quant au problème du</w:t>
      </w:r>
      <w:r w:rsidR="00F35B88">
        <w:t xml:space="preserve"> dérèglement climatique, il est indispensable de remplacer les combustibles fossiles par des énergies </w:t>
      </w:r>
      <w:proofErr w:type="gramStart"/>
      <w:r w:rsidR="00F35B88">
        <w:t>bas carbone</w:t>
      </w:r>
      <w:proofErr w:type="gramEnd"/>
      <w:r w:rsidR="00F35B88">
        <w:t>. Les réserves d’énergies fossiles sont encore importantes [</w:t>
      </w:r>
      <w:r w:rsidR="00BD0F4A">
        <w:t>32</w:t>
      </w:r>
      <w:r w:rsidR="00F35B88">
        <w:t>], il faut donc agir sur l’efficacité énergétique, premier levier pour réduire les émissions de CO</w:t>
      </w:r>
      <w:r w:rsidR="00F35B88" w:rsidRPr="00CC0A17">
        <w:rPr>
          <w:vertAlign w:val="subscript"/>
        </w:rPr>
        <w:t>2</w:t>
      </w:r>
      <w:r w:rsidR="00E97A1C">
        <w:t xml:space="preserve"> et </w:t>
      </w:r>
      <w:proofErr w:type="spellStart"/>
      <w:r w:rsidR="00E97A1C">
        <w:t>déc</w:t>
      </w:r>
      <w:r w:rsidR="006F08E4">
        <w:t>arboner</w:t>
      </w:r>
      <w:proofErr w:type="spellEnd"/>
      <w:r w:rsidR="006F08E4">
        <w:t xml:space="preserve"> l’économie mondiale</w:t>
      </w:r>
      <w:r w:rsidR="00E97A1C">
        <w:t>.</w:t>
      </w:r>
      <w:r w:rsidR="00F35B88">
        <w:t xml:space="preserve"> Cependant</w:t>
      </w:r>
      <w:r w:rsidR="00E97A1C">
        <w:t>, le phénomène d’« effet rebond » pourrait contrer les bénéfices de l’efficacité énergétique.</w:t>
      </w:r>
      <w:r w:rsidR="00D82EE2">
        <w:t xml:space="preserve"> </w:t>
      </w:r>
      <w:r w:rsidR="00E97A1C" w:rsidRPr="00E97A1C">
        <w:rPr>
          <w:i/>
        </w:rPr>
        <w:t>Parfois appelé « paradoxe de Jevons », du nom du premier économiste à l’avoir étudié au milieu du XIX</w:t>
      </w:r>
      <w:r w:rsidR="00E97A1C" w:rsidRPr="00E97A1C">
        <w:rPr>
          <w:i/>
          <w:vertAlign w:val="superscript"/>
        </w:rPr>
        <w:t>e</w:t>
      </w:r>
      <w:r w:rsidR="00E97A1C" w:rsidRPr="00E97A1C">
        <w:rPr>
          <w:i/>
        </w:rPr>
        <w:t> siècle, l’effet rebond correspond à l’ensemble des mécanismes économiques et comportementaux qui annulent une partie, ou la totalité, des économies d’énergie r</w:t>
      </w:r>
      <w:r w:rsidR="006F08E4">
        <w:rPr>
          <w:i/>
        </w:rPr>
        <w:t>ésultant des gains d’efficacité</w:t>
      </w:r>
      <w:r w:rsidR="00E97A1C">
        <w:t xml:space="preserve"> [</w:t>
      </w:r>
      <w:r w:rsidR="00BD0F4A">
        <w:t>33</w:t>
      </w:r>
      <w:r w:rsidR="00E97A1C">
        <w:t>]</w:t>
      </w:r>
      <w:r w:rsidR="006F08E4">
        <w:t xml:space="preserve">. </w:t>
      </w:r>
      <w:r w:rsidR="00E97A1C">
        <w:t>L’efficacité énergétique en</w:t>
      </w:r>
      <w:r w:rsidR="006F08E4">
        <w:t xml:space="preserve"> diminuant le coût d’un service</w:t>
      </w:r>
      <w:r w:rsidR="00E97A1C">
        <w:t xml:space="preserve"> engendre un surcroît d’utilisation du service lui-même ou une économie suffisante pour un achat autre. L’ampleur des effets rebonds restent difficiles à </w:t>
      </w:r>
      <w:r w:rsidR="00E97A1C">
        <w:lastRenderedPageBreak/>
        <w:t xml:space="preserve">quantifier </w:t>
      </w:r>
      <w:r w:rsidR="000D6D15">
        <w:t>cependant</w:t>
      </w:r>
      <w:r w:rsidR="00E97A1C">
        <w:t xml:space="preserve"> </w:t>
      </w:r>
      <w:r w:rsidR="000D6D15">
        <w:t>une</w:t>
      </w:r>
      <w:r w:rsidR="00E97A1C">
        <w:t xml:space="preserve"> </w:t>
      </w:r>
      <w:r w:rsidR="000D6D15">
        <w:t>étude</w:t>
      </w:r>
      <w:r w:rsidR="00E97A1C">
        <w:t xml:space="preserve"> récente [</w:t>
      </w:r>
      <w:r w:rsidR="00BD0F4A">
        <w:t>34</w:t>
      </w:r>
      <w:r w:rsidR="00E97A1C">
        <w:t>]</w:t>
      </w:r>
      <w:r w:rsidR="000D6D15">
        <w:t xml:space="preserve"> montre que plus de la moitié des économies d’énergie issues d’une amélioration de l’efficacité énergétique semble ne jamais se concrétiser.</w:t>
      </w:r>
    </w:p>
    <w:p w14:paraId="506F7842" w14:textId="508F8772" w:rsidR="000D6D15" w:rsidRDefault="00D82EE2" w:rsidP="00237DA5">
      <w:r>
        <w:t>La crédibilité des scénarios climatiques mondi</w:t>
      </w:r>
      <w:r w:rsidR="006F08E4">
        <w:t>aux pourrai</w:t>
      </w:r>
      <w:r>
        <w:t>t être re</w:t>
      </w:r>
      <w:r w:rsidR="0004186F">
        <w:t xml:space="preserve">mise en cause par </w:t>
      </w:r>
      <w:proofErr w:type="gramStart"/>
      <w:r w:rsidR="0004186F">
        <w:t>la</w:t>
      </w:r>
      <w:proofErr w:type="gramEnd"/>
      <w:r w:rsidR="0004186F">
        <w:t xml:space="preserve"> non prise </w:t>
      </w:r>
      <w:r>
        <w:t>e</w:t>
      </w:r>
      <w:r w:rsidR="0004186F">
        <w:t>n</w:t>
      </w:r>
      <w:r>
        <w:t xml:space="preserve"> compte de l’effet rebond. </w:t>
      </w:r>
      <w:r w:rsidR="0004186F">
        <w:t xml:space="preserve">Pour cette raison, il y a un </w:t>
      </w:r>
      <w:r>
        <w:t xml:space="preserve">risque </w:t>
      </w:r>
      <w:r w:rsidR="0004186F">
        <w:t>énorme que les gains d’efficacité attendus ne soient pas au rendez-vous</w:t>
      </w:r>
      <w:r>
        <w:t xml:space="preserve">. La sobriété des besoins, ou encore de la décroissance de la production matérielle, </w:t>
      </w:r>
      <w:r w:rsidR="00BD0F4A">
        <w:t xml:space="preserve">fait </w:t>
      </w:r>
      <w:r>
        <w:t xml:space="preserve">alors pleinement </w:t>
      </w:r>
      <w:r w:rsidR="00BD0F4A">
        <w:t>partie de la palette de solutions indispensables</w:t>
      </w:r>
      <w:r>
        <w:t xml:space="preserve"> </w:t>
      </w:r>
      <w:r w:rsidRPr="00756BAD">
        <w:t>[</w:t>
      </w:r>
      <w:r w:rsidR="00BD0F4A">
        <w:t>33</w:t>
      </w:r>
      <w:r w:rsidRPr="00756BAD">
        <w:t>]</w:t>
      </w:r>
      <w:r w:rsidR="00BD0F4A">
        <w:t>.</w:t>
      </w:r>
    </w:p>
    <w:p w14:paraId="6FF1FF72" w14:textId="2D4BF5C2" w:rsidR="0004186F" w:rsidRDefault="0004186F" w:rsidP="00237DA5">
      <w:r>
        <w:t>De nombreux travaux scientifiques, en France et dans le monde, s’intéressent à la sobriété et montrent son importance majeure. Notons le cas de la France où, dans son scénario officiel de 2020 (S</w:t>
      </w:r>
      <w:r w:rsidRPr="00B01B2A">
        <w:t>cénario de référence de la stratégie française pour l’énergie et le climat</w:t>
      </w:r>
      <w:r>
        <w:t>), apparaît la mention d’une « sollicitation équilibrée des leviers de sobriété » pour atteindre la neutralité carbone en 2050 [4] [</w:t>
      </w:r>
      <w:r w:rsidR="00BD0F4A">
        <w:t>35</w:t>
      </w:r>
      <w:r>
        <w:t>].</w:t>
      </w:r>
    </w:p>
    <w:p w14:paraId="3F5B7F09" w14:textId="78C0DFD5" w:rsidR="008C1B74" w:rsidRDefault="008C1B74" w:rsidP="00237DA5">
      <w:r>
        <w:rPr>
          <w:noProof/>
          <w:lang w:eastAsia="fr-FR"/>
        </w:rPr>
        <mc:AlternateContent>
          <mc:Choice Requires="wps">
            <w:drawing>
              <wp:anchor distT="0" distB="0" distL="114300" distR="114300" simplePos="0" relativeHeight="251732992" behindDoc="0" locked="0" layoutInCell="1" allowOverlap="1" wp14:anchorId="1A57DE40" wp14:editId="419A31B8">
                <wp:simplePos x="0" y="0"/>
                <wp:positionH relativeFrom="margin">
                  <wp:align>center</wp:align>
                </wp:positionH>
                <wp:positionV relativeFrom="paragraph">
                  <wp:posOffset>0</wp:posOffset>
                </wp:positionV>
                <wp:extent cx="5476875" cy="666750"/>
                <wp:effectExtent l="0" t="0" r="28575" b="1905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6875" cy="666750"/>
                        </a:xfrm>
                        <a:prstGeom prst="rect">
                          <a:avLst/>
                        </a:prstGeom>
                        <a:solidFill>
                          <a:schemeClr val="bg1">
                            <a:lumMod val="95000"/>
                          </a:schemeClr>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59B43FD" w14:textId="77777777" w:rsidR="008C1B74" w:rsidRPr="00ED1D3C" w:rsidRDefault="008C1B74" w:rsidP="008C1B74">
                            <w:pPr>
                              <w:spacing w:before="120"/>
                              <w:jc w:val="center"/>
                              <w:rPr>
                                <w:b/>
                                <w:color w:val="3891A7" w:themeColor="accent1"/>
                              </w:rPr>
                            </w:pPr>
                            <w:r w:rsidRPr="00ED1D3C">
                              <w:rPr>
                                <w:b/>
                                <w:color w:val="2A6C7D" w:themeColor="accent1" w:themeShade="BF"/>
                              </w:rPr>
                              <w:t xml:space="preserve">Dossier </w:t>
                            </w:r>
                            <w:r>
                              <w:rPr>
                                <w:b/>
                                <w:color w:val="2A6C7D" w:themeColor="accent1" w:themeShade="BF"/>
                              </w:rPr>
                              <w:t>Concepts et</w:t>
                            </w:r>
                            <w:r w:rsidRPr="00ED1D3C">
                              <w:rPr>
                                <w:b/>
                                <w:color w:val="2A6C7D" w:themeColor="accent1" w:themeShade="BF"/>
                              </w:rPr>
                              <w:t xml:space="preserve"> Chiffres de l’Énergie</w:t>
                            </w:r>
                          </w:p>
                          <w:p w14:paraId="04AA2E2E" w14:textId="10F8F175" w:rsidR="008C1B74" w:rsidRDefault="008C1B74" w:rsidP="008C1B74">
                            <w:pPr>
                              <w:spacing w:before="120"/>
                            </w:pPr>
                            <w:r>
                              <w:t>Retrouvez toutes les ressources du dossier « </w:t>
                            </w:r>
                            <w:hyperlink r:id="rId29" w:history="1">
                              <w:r>
                                <w:rPr>
                                  <w:rStyle w:val="Lienhypertexte"/>
                                </w:rPr>
                                <w:t>Concepts et</w:t>
                              </w:r>
                              <w:r w:rsidRPr="00EE776A">
                                <w:rPr>
                                  <w:rStyle w:val="Lienhypertexte"/>
                                </w:rPr>
                                <w:t xml:space="preserve"> Chiffres de l’Energie</w:t>
                              </w:r>
                            </w:hyperlink>
                            <w: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7DE40" id="_x0000_t202" coordsize="21600,21600" o:spt="202" path="m,l,21600r21600,l21600,xe">
                <v:stroke joinstyle="miter"/>
                <v:path gradientshapeok="t" o:connecttype="rect"/>
              </v:shapetype>
              <v:shape id="Zone de texte 7" o:spid="_x0000_s1060" type="#_x0000_t202" style="position:absolute;left:0;text-align:left;margin-left:0;margin-top:0;width:431.25pt;height:52.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" fillcolor="#f2f2f2 [3052]" strokecolor="#3891a7 [3204]" strokeweight=".5pt">
                <v:path arrowok="t"/>
                <v:textbox>
                  <w:txbxContent>
                    <w:p w14:paraId="359B43FD" w14:textId="77777777" w:rsidR="008C1B74" w:rsidRPr="00ED1D3C" w:rsidRDefault="008C1B74" w:rsidP="008C1B74">
                      <w:pPr>
                        <w:spacing w:before="120"/>
                        <w:jc w:val="center"/>
                        <w:rPr>
                          <w:b/>
                          <w:color w:val="3891A7" w:themeColor="accent1"/>
                        </w:rPr>
                      </w:pPr>
                      <w:r w:rsidRPr="00ED1D3C">
                        <w:rPr>
                          <w:b/>
                          <w:color w:val="2A6C7D" w:themeColor="accent1" w:themeShade="BF"/>
                        </w:rPr>
                        <w:t xml:space="preserve">Dossier </w:t>
                      </w:r>
                      <w:r>
                        <w:rPr>
                          <w:b/>
                          <w:color w:val="2A6C7D" w:themeColor="accent1" w:themeShade="BF"/>
                        </w:rPr>
                        <w:t>Concepts et</w:t>
                      </w:r>
                      <w:r w:rsidRPr="00ED1D3C">
                        <w:rPr>
                          <w:b/>
                          <w:color w:val="2A6C7D" w:themeColor="accent1" w:themeShade="BF"/>
                        </w:rPr>
                        <w:t xml:space="preserve"> Chiffres de l’Énergie</w:t>
                      </w:r>
                    </w:p>
                    <w:p w14:paraId="04AA2E2E" w14:textId="10F8F175" w:rsidR="008C1B74" w:rsidRDefault="008C1B74" w:rsidP="008C1B74">
                      <w:pPr>
                        <w:spacing w:before="120"/>
                      </w:pPr>
                      <w:r>
                        <w:t>Retrouvez toutes les ressources du dossier « </w:t>
                      </w:r>
                      <w:hyperlink r:id="rId30" w:history="1">
                        <w:r>
                          <w:rPr>
                            <w:rStyle w:val="Lienhypertexte"/>
                          </w:rPr>
                          <w:t>Concepts et</w:t>
                        </w:r>
                        <w:r w:rsidRPr="00EE776A">
                          <w:rPr>
                            <w:rStyle w:val="Lienhypertexte"/>
                          </w:rPr>
                          <w:t xml:space="preserve"> Chiffres de l’Energie</w:t>
                        </w:r>
                      </w:hyperlink>
                      <w:r>
                        <w:t> »</w:t>
                      </w:r>
                    </w:p>
                  </w:txbxContent>
                </v:textbox>
                <w10:wrap anchorx="margin"/>
              </v:shape>
            </w:pict>
          </mc:Fallback>
        </mc:AlternateContent>
      </w:r>
    </w:p>
    <w:p w14:paraId="34255669" w14:textId="77777777" w:rsidR="008C1B74" w:rsidRDefault="008C1B74" w:rsidP="00237DA5"/>
    <w:p w14:paraId="1386732D" w14:textId="77777777" w:rsidR="00CE519D" w:rsidRPr="008C1B74" w:rsidRDefault="009E14BA" w:rsidP="00237DA5">
      <w:pPr>
        <w:pStyle w:val="Titre1"/>
        <w:rPr>
          <w:lang w:val="en-GB"/>
        </w:rPr>
      </w:pPr>
      <w:proofErr w:type="spellStart"/>
      <w:proofErr w:type="gramStart"/>
      <w:r w:rsidRPr="008C1B74">
        <w:rPr>
          <w:lang w:val="en-GB"/>
        </w:rPr>
        <w:t>Références</w:t>
      </w:r>
      <w:proofErr w:type="spellEnd"/>
      <w:r w:rsidRPr="008C1B74">
        <w:rPr>
          <w:lang w:val="en-GB"/>
        </w:rPr>
        <w:t> :</w:t>
      </w:r>
      <w:proofErr w:type="gramEnd"/>
    </w:p>
    <w:p w14:paraId="27FD2E56" w14:textId="77777777" w:rsidR="00CE519D" w:rsidRPr="008553AE" w:rsidRDefault="009E14BA" w:rsidP="00DA6F7A">
      <w:pPr>
        <w:rPr>
          <w:lang w:val="en-GB"/>
        </w:rPr>
      </w:pPr>
      <w:r w:rsidRPr="008553AE">
        <w:rPr>
          <w:lang w:val="en-GB"/>
        </w:rPr>
        <w:t xml:space="preserve">[1]: Earth Overshoot Day Fell On August 22, Global Footprint Network, </w:t>
      </w:r>
      <w:proofErr w:type="spellStart"/>
      <w:r w:rsidRPr="008C1B74">
        <w:rPr>
          <w:lang w:val="en-GB"/>
        </w:rPr>
        <w:t>consulté</w:t>
      </w:r>
      <w:proofErr w:type="spellEnd"/>
      <w:r w:rsidRPr="008553AE">
        <w:rPr>
          <w:lang w:val="en-GB"/>
        </w:rPr>
        <w:t xml:space="preserve"> le 06/10/2020, </w:t>
      </w:r>
      <w:hyperlink r:id="rId31" w:history="1">
        <w:r w:rsidRPr="008553AE">
          <w:rPr>
            <w:rStyle w:val="Lienhypertexte"/>
            <w:rFonts w:cs="CMBX12"/>
            <w:lang w:val="en-GB"/>
          </w:rPr>
          <w:t>https://www.footprintnetwork.org/</w:t>
        </w:r>
      </w:hyperlink>
    </w:p>
    <w:p w14:paraId="36E75A6E" w14:textId="77777777" w:rsidR="00CE519D" w:rsidRPr="008C1B74" w:rsidRDefault="009E14BA" w:rsidP="00BE4488">
      <w:pPr>
        <w:spacing w:before="120"/>
        <w:jc w:val="left"/>
        <w:rPr>
          <w:rStyle w:val="Lienhypertexte"/>
          <w:rFonts w:cs="CMR12"/>
          <w:lang w:val="en-GB"/>
        </w:rPr>
      </w:pPr>
      <w:r w:rsidRPr="008553AE">
        <w:rPr>
          <w:rStyle w:val="SansinterligneCar"/>
          <w:lang w:val="en-GB"/>
        </w:rPr>
        <w:t xml:space="preserve">[2]: Country overshoot days, earth overshoot day, </w:t>
      </w:r>
      <w:proofErr w:type="spellStart"/>
      <w:r w:rsidRPr="008C1B74">
        <w:rPr>
          <w:rStyle w:val="SansinterligneCar"/>
          <w:lang w:val="en-GB"/>
        </w:rPr>
        <w:t>consulté</w:t>
      </w:r>
      <w:proofErr w:type="spellEnd"/>
      <w:r w:rsidRPr="008553AE">
        <w:rPr>
          <w:rStyle w:val="SansinterligneCar"/>
          <w:lang w:val="en-GB"/>
        </w:rPr>
        <w:t xml:space="preserve"> le 06/10/2020,</w:t>
      </w:r>
      <w:r w:rsidRPr="008553AE">
        <w:rPr>
          <w:color w:val="8DC765" w:themeColor="hyperlink"/>
          <w:u w:val="single"/>
          <w:lang w:val="en-GB"/>
        </w:rPr>
        <w:t xml:space="preserve"> </w:t>
      </w:r>
      <w:hyperlink r:id="rId32" w:history="1">
        <w:r w:rsidRPr="008C1B74">
          <w:rPr>
            <w:rStyle w:val="Lienhypertexte"/>
            <w:rFonts w:cs="CMR12"/>
            <w:lang w:val="en-GB"/>
          </w:rPr>
          <w:t>https://www.overshootday.org/newsroom/country-overshoot-days/</w:t>
        </w:r>
      </w:hyperlink>
    </w:p>
    <w:p w14:paraId="648508D9" w14:textId="77777777" w:rsidR="00C80B76" w:rsidRDefault="00C80B76" w:rsidP="00BE4488">
      <w:pPr>
        <w:spacing w:before="120"/>
        <w:jc w:val="left"/>
        <w:rPr>
          <w:rStyle w:val="Lienhypertexte"/>
        </w:rPr>
      </w:pPr>
      <w:r w:rsidRPr="00DA6F7A">
        <w:t>[3]: Homo sapiens, la plus invasive des espèces, Pour la science, janvier 2017,</w:t>
      </w:r>
      <w:r w:rsidRPr="00C80B76">
        <w:rPr>
          <w:color w:val="0000FF"/>
        </w:rPr>
        <w:t xml:space="preserve"> </w:t>
      </w:r>
      <w:hyperlink r:id="rId33" w:history="1">
        <w:r w:rsidRPr="00C80B76">
          <w:rPr>
            <w:rStyle w:val="Lienhypertexte"/>
          </w:rPr>
          <w:t>https://www.pourlascience.fr/sd/prehistoire/homo-sapiens-la-plus-invasive-des-especes-9455.php</w:t>
        </w:r>
      </w:hyperlink>
    </w:p>
    <w:p w14:paraId="5EB15355" w14:textId="77777777" w:rsidR="00DA6F7A" w:rsidRDefault="00C80B76" w:rsidP="00BE4488">
      <w:pPr>
        <w:spacing w:before="120"/>
        <w:jc w:val="left"/>
        <w:rPr>
          <w:rStyle w:val="Lienhypertexte"/>
          <w:rFonts w:cs="CMR12"/>
        </w:rPr>
      </w:pPr>
      <w:r w:rsidRPr="00DA6F7A">
        <w:t xml:space="preserve">[4]: </w:t>
      </w:r>
      <w:r>
        <w:t xml:space="preserve">Les scientifiques lancent un cri d’alarme : la disparition des espèces s’accélère, E. </w:t>
      </w:r>
      <w:proofErr w:type="spellStart"/>
      <w:r>
        <w:t>Hollen</w:t>
      </w:r>
      <w:proofErr w:type="spellEnd"/>
      <w:r>
        <w:t xml:space="preserve">, </w:t>
      </w:r>
      <w:proofErr w:type="spellStart"/>
      <w:r>
        <w:t>Futura</w:t>
      </w:r>
      <w:proofErr w:type="spellEnd"/>
      <w:r>
        <w:t xml:space="preserve"> Planète, septembre 2020</w:t>
      </w:r>
      <w:r w:rsidR="00FF7B22">
        <w:t xml:space="preserve">, </w:t>
      </w:r>
      <w:hyperlink r:id="rId34" w:history="1">
        <w:r w:rsidR="00DA6F7A" w:rsidRPr="00671A94">
          <w:rPr>
            <w:rStyle w:val="Lienhypertexte"/>
          </w:rPr>
          <w:t>https://www.futura-sciences.com/planete/actualites/zoologie-scientifiques-lancent-cri-alarme-disparition-especes-accelere-58704/</w:t>
        </w:r>
      </w:hyperlink>
    </w:p>
    <w:p w14:paraId="53D6D04D" w14:textId="77777777" w:rsidR="00236FED" w:rsidRDefault="00236FED" w:rsidP="00BE4488">
      <w:pPr>
        <w:spacing w:before="120"/>
        <w:jc w:val="left"/>
        <w:rPr>
          <w:rStyle w:val="Lienhypertexte"/>
        </w:rPr>
      </w:pPr>
      <w:r w:rsidRPr="00DA6F7A">
        <w:t>[</w:t>
      </w:r>
      <w:r w:rsidR="00FF7B22" w:rsidRPr="00DA6F7A">
        <w:t>5</w:t>
      </w:r>
      <w:r w:rsidRPr="00DA6F7A">
        <w:t xml:space="preserve">]: </w:t>
      </w:r>
      <w:r>
        <w:t xml:space="preserve">Rapport accepté par le Groupe de travail I du Groupe intergouvernemental d’experts sur l’évolution du climat mais non approuvé dans le détail, résumé technique, </w:t>
      </w:r>
      <w:hyperlink r:id="rId35" w:history="1">
        <w:r w:rsidRPr="0034773D">
          <w:rPr>
            <w:rStyle w:val="Lienhypertexte"/>
          </w:rPr>
          <w:t>https://www.ipcc.ch/site/assets/uploads/2018/05/ar4-wg1-ts-fr.pdf</w:t>
        </w:r>
      </w:hyperlink>
    </w:p>
    <w:p w14:paraId="7301ED71" w14:textId="77777777" w:rsidR="00905B85" w:rsidRDefault="00236FED" w:rsidP="00BE4488">
      <w:pPr>
        <w:spacing w:before="120"/>
        <w:jc w:val="left"/>
        <w:rPr>
          <w:rStyle w:val="Lienhypertexte"/>
          <w:rFonts w:cs="CMR12"/>
        </w:rPr>
      </w:pPr>
      <w:r w:rsidRPr="00DA6F7A">
        <w:t>[</w:t>
      </w:r>
      <w:r w:rsidR="001401BD" w:rsidRPr="00DA6F7A">
        <w:t>6</w:t>
      </w:r>
      <w:r w:rsidRPr="00DA6F7A">
        <w:t>]</w:t>
      </w:r>
      <w:r w:rsidR="00905B85" w:rsidRPr="00DA6F7A">
        <w:t xml:space="preserve">: Conversion d’énergie et efficacité énergétique, B. </w:t>
      </w:r>
      <w:proofErr w:type="spellStart"/>
      <w:r w:rsidR="00905B85" w:rsidRPr="00DA6F7A">
        <w:t>Multon</w:t>
      </w:r>
      <w:proofErr w:type="spellEnd"/>
      <w:r w:rsidR="00905B85" w:rsidRPr="00DA6F7A">
        <w:t xml:space="preserve">, H. Horsin </w:t>
      </w:r>
      <w:proofErr w:type="spellStart"/>
      <w:r w:rsidR="00905B85" w:rsidRPr="00DA6F7A">
        <w:t>Molinaro</w:t>
      </w:r>
      <w:proofErr w:type="spellEnd"/>
      <w:r w:rsidR="00905B85" w:rsidRPr="00DA6F7A">
        <w:t xml:space="preserve">, </w:t>
      </w:r>
      <w:r w:rsidR="00702E58" w:rsidRPr="00DA6F7A">
        <w:t xml:space="preserve">septembre </w:t>
      </w:r>
      <w:r w:rsidR="00905B85" w:rsidRPr="00DA6F7A">
        <w:t>2</w:t>
      </w:r>
      <w:r w:rsidR="00702E58" w:rsidRPr="00DA6F7A">
        <w:t>018</w:t>
      </w:r>
      <w:r w:rsidR="00905B85" w:rsidRPr="00DA6F7A">
        <w:t>,</w:t>
      </w:r>
      <w:r w:rsidR="00905B85">
        <w:rPr>
          <w:rStyle w:val="Lienhypertexte"/>
          <w:rFonts w:cs="CMR12"/>
        </w:rPr>
        <w:t xml:space="preserve"> </w:t>
      </w:r>
      <w:hyperlink r:id="rId36" w:history="1">
        <w:r w:rsidR="006C22F0" w:rsidRPr="00366198">
          <w:rPr>
            <w:rStyle w:val="Lienhypertexte"/>
            <w:rFonts w:cs="CMR12"/>
          </w:rPr>
          <w:t>https://eduscol.education.fr/sti/si-ens-paris-saclay/ressources_pedagogiques/conversion-denergie-et-efficacite-energetique</w:t>
        </w:r>
      </w:hyperlink>
    </w:p>
    <w:p w14:paraId="2BFEEF3B" w14:textId="77777777" w:rsidR="00BE0A8C" w:rsidRDefault="00A1727E" w:rsidP="00BE4488">
      <w:pPr>
        <w:spacing w:before="120"/>
        <w:jc w:val="left"/>
        <w:rPr>
          <w:rStyle w:val="Lienhypertexte"/>
          <w:rFonts w:cs="CMR10"/>
        </w:rPr>
      </w:pPr>
      <w:r w:rsidRPr="00CE519D">
        <w:rPr>
          <w:rFonts w:cs="CMR10"/>
        </w:rPr>
        <w:t>[</w:t>
      </w:r>
      <w:r w:rsidR="001401BD">
        <w:rPr>
          <w:rFonts w:cs="CMR10"/>
        </w:rPr>
        <w:t>7</w:t>
      </w:r>
      <w:r w:rsidRPr="00CE519D">
        <w:rPr>
          <w:rFonts w:cs="CMR10"/>
        </w:rPr>
        <w:t xml:space="preserve">]: </w:t>
      </w:r>
      <w:r>
        <w:rPr>
          <w:rFonts w:cs="CMR10"/>
        </w:rPr>
        <w:t xml:space="preserve">Voiture moyenne neuve 2018 : son évolution depuis 1953, l’argus, juin2019, </w:t>
      </w:r>
      <w:hyperlink r:id="rId37" w:history="1">
        <w:r w:rsidRPr="00301AF4">
          <w:rPr>
            <w:rStyle w:val="Lienhypertexte"/>
            <w:rFonts w:cs="CMR10"/>
          </w:rPr>
          <w:t>https://www.largus.fr/actualite-automobile/voiture-moyenne-neuve-2018-son-evolution-depuis-1953-9833394.html</w:t>
        </w:r>
      </w:hyperlink>
    </w:p>
    <w:p w14:paraId="6E2C628D" w14:textId="77777777" w:rsidR="00F40792" w:rsidRDefault="00F40792" w:rsidP="00BE4488">
      <w:pPr>
        <w:spacing w:before="120"/>
        <w:jc w:val="left"/>
        <w:rPr>
          <w:rStyle w:val="Lienhypertexte"/>
          <w:rFonts w:cs="CMR12"/>
        </w:rPr>
      </w:pPr>
      <w:r w:rsidRPr="00DA6F7A">
        <w:t>[</w:t>
      </w:r>
      <w:r w:rsidR="001401BD" w:rsidRPr="00DA6F7A">
        <w:t>8</w:t>
      </w:r>
      <w:r w:rsidRPr="00DA6F7A">
        <w:t xml:space="preserve">]: Énergie électrique, B. </w:t>
      </w:r>
      <w:proofErr w:type="spellStart"/>
      <w:r w:rsidRPr="00DA6F7A">
        <w:t>Multon</w:t>
      </w:r>
      <w:proofErr w:type="spellEnd"/>
      <w:r w:rsidRPr="00DA6F7A">
        <w:t>, 2018,</w:t>
      </w:r>
      <w:r>
        <w:rPr>
          <w:rStyle w:val="Lienhypertexte"/>
          <w:rFonts w:cs="CMR12"/>
        </w:rPr>
        <w:t xml:space="preserve"> </w:t>
      </w:r>
      <w:hyperlink r:id="rId38" w:history="1">
        <w:r w:rsidR="001401BD" w:rsidRPr="00B13E62">
          <w:rPr>
            <w:rStyle w:val="Lienhypertexte"/>
            <w:rFonts w:cs="CMR12"/>
          </w:rPr>
          <w:t>https://cel.archives-ouvertes.fr/cel-01246815v2/document</w:t>
        </w:r>
      </w:hyperlink>
    </w:p>
    <w:p w14:paraId="37CDBD4D" w14:textId="77777777" w:rsidR="00E25C3E" w:rsidRDefault="00C80CC4" w:rsidP="00BE4488">
      <w:pPr>
        <w:spacing w:before="120"/>
        <w:jc w:val="left"/>
        <w:rPr>
          <w:rStyle w:val="Lienhypertexte"/>
          <w:rFonts w:cs="Arial"/>
        </w:rPr>
      </w:pPr>
      <w:r w:rsidRPr="00CE519D">
        <w:t>[</w:t>
      </w:r>
      <w:r w:rsidR="001F2FDA">
        <w:t>9</w:t>
      </w:r>
      <w:r w:rsidRPr="00CE519D">
        <w:t>]:</w:t>
      </w:r>
      <w:r w:rsidRPr="006F7059">
        <w:rPr>
          <w:color w:val="4F271C" w:themeColor="text2"/>
        </w:rPr>
        <w:t xml:space="preserve"> </w:t>
      </w:r>
      <w:r w:rsidR="00E25C3E">
        <w:t xml:space="preserve">La sobriété énergétique, une notion disruptive de plus en plus étudiée, E. Toulouse, La revue de l’énergie, n°649 mars-avril 2020, </w:t>
      </w:r>
      <w:hyperlink r:id="rId39" w:history="1">
        <w:r w:rsidR="00E25C3E" w:rsidRPr="001C5FAA">
          <w:rPr>
            <w:rStyle w:val="Lienhypertexte"/>
            <w:rFonts w:cs="Arial"/>
          </w:rPr>
          <w:t>https://www.larevuedelenergie.com/la-sobriete-energetique-une-notion-disruptive-de-plus-en-plus-etudiee/</w:t>
        </w:r>
      </w:hyperlink>
    </w:p>
    <w:p w14:paraId="6AE3F309" w14:textId="77777777" w:rsidR="00C80CC4" w:rsidRDefault="00E25C3E" w:rsidP="00BE4488">
      <w:pPr>
        <w:spacing w:before="120"/>
        <w:jc w:val="left"/>
        <w:rPr>
          <w:rFonts w:cs="CMR10"/>
        </w:rPr>
      </w:pPr>
      <w:r w:rsidRPr="00CE519D">
        <w:rPr>
          <w:color w:val="263033"/>
        </w:rPr>
        <w:t>[</w:t>
      </w:r>
      <w:r w:rsidR="00D212A2">
        <w:rPr>
          <w:color w:val="263033"/>
        </w:rPr>
        <w:t>10</w:t>
      </w:r>
      <w:r w:rsidRPr="00CE519D">
        <w:rPr>
          <w:color w:val="263033"/>
        </w:rPr>
        <w:t xml:space="preserve">]: </w:t>
      </w:r>
      <w:r w:rsidR="00C80CC4" w:rsidRPr="00335301">
        <w:rPr>
          <w:color w:val="000000" w:themeColor="text1"/>
        </w:rPr>
        <w:t>Seuls certains frigos et congélateurs spéciaux fonctionnement bien dans le froid, janvier 2019, énergie-environnement.ch,</w:t>
      </w:r>
      <w:r w:rsidR="004E1FA3" w:rsidRPr="00335301">
        <w:rPr>
          <w:color w:val="000000" w:themeColor="text1"/>
        </w:rPr>
        <w:t xml:space="preserve"> </w:t>
      </w:r>
      <w:hyperlink r:id="rId40" w:history="1">
        <w:r w:rsidR="00C80CC4" w:rsidRPr="006D6A2F">
          <w:rPr>
            <w:rStyle w:val="Lienhypertexte"/>
          </w:rPr>
          <w:t>https://www.energie-environnement.ch/le-saviez-vous/1506-seuls-certains-frigos-et-congelateurs-speciaux-fonctionnent-bien-dans-le-froid</w:t>
        </w:r>
      </w:hyperlink>
    </w:p>
    <w:p w14:paraId="45EF85B9" w14:textId="77777777" w:rsidR="00E024C3" w:rsidRDefault="00E024C3" w:rsidP="00BE4488">
      <w:pPr>
        <w:spacing w:before="120"/>
        <w:jc w:val="left"/>
        <w:rPr>
          <w:rStyle w:val="Lienhypertexte"/>
        </w:rPr>
      </w:pPr>
      <w:r w:rsidRPr="00CE519D">
        <w:rPr>
          <w:rFonts w:cs="Arial"/>
          <w:color w:val="263033"/>
        </w:rPr>
        <w:lastRenderedPageBreak/>
        <w:t>[</w:t>
      </w:r>
      <w:r w:rsidR="00D212A2">
        <w:rPr>
          <w:rFonts w:cs="Arial"/>
          <w:color w:val="263033"/>
        </w:rPr>
        <w:t>11</w:t>
      </w:r>
      <w:r w:rsidRPr="00CE519D">
        <w:rPr>
          <w:rFonts w:cs="Arial"/>
          <w:color w:val="263033"/>
        </w:rPr>
        <w:t xml:space="preserve">]: </w:t>
      </w:r>
      <w:r>
        <w:rPr>
          <w:rFonts w:cs="Arial"/>
          <w:color w:val="263033"/>
        </w:rPr>
        <w:t xml:space="preserve">Site </w:t>
      </w:r>
      <w:proofErr w:type="spellStart"/>
      <w:r>
        <w:rPr>
          <w:rFonts w:cs="Arial"/>
          <w:color w:val="263033"/>
        </w:rPr>
        <w:t>Camif</w:t>
      </w:r>
      <w:proofErr w:type="spellEnd"/>
      <w:r>
        <w:rPr>
          <w:rFonts w:cs="Arial"/>
          <w:color w:val="263033"/>
        </w:rPr>
        <w:t xml:space="preserve"> consulté le 12 octobre 2020, </w:t>
      </w:r>
      <w:hyperlink r:id="rId41" w:history="1">
        <w:r w:rsidRPr="00D00D42">
          <w:rPr>
            <w:rStyle w:val="Lienhypertexte"/>
          </w:rPr>
          <w:t>https://www.camif.fr/electromenager-et-chauffage/gros-electromenager/refrigerateurs.html?fh_location=/wac_atech00229_type_refrigerateur%3E%7B15243%3B12168%7D</w:t>
        </w:r>
      </w:hyperlink>
    </w:p>
    <w:p w14:paraId="10E9E1F4" w14:textId="77777777" w:rsidR="00F1621B" w:rsidRDefault="002B5B31" w:rsidP="00BE4488">
      <w:pPr>
        <w:spacing w:before="120"/>
        <w:jc w:val="left"/>
        <w:rPr>
          <w:rStyle w:val="Lienhypertexte"/>
          <w:rFonts w:cs="Arial"/>
        </w:rPr>
      </w:pPr>
      <w:r>
        <w:t>[</w:t>
      </w:r>
      <w:r w:rsidR="00F1621B">
        <w:t>12</w:t>
      </w:r>
      <w:r>
        <w:t xml:space="preserve">] : </w:t>
      </w:r>
      <w:r>
        <w:rPr>
          <w:rFonts w:cs="Arial"/>
          <w:color w:val="263033"/>
        </w:rPr>
        <w:t xml:space="preserve">L’efficacité énergétique dans les ménages, Suisse énergie, mars 2016, </w:t>
      </w:r>
      <w:hyperlink r:id="rId42" w:history="1">
        <w:r w:rsidRPr="00860E48">
          <w:rPr>
            <w:rStyle w:val="Lienhypertexte"/>
            <w:rFonts w:cs="Arial"/>
          </w:rPr>
          <w:t>https://www.bundespublikationen.admin.ch/cshop_mimes_bbl/2C/2C59E545D7371ED5BB894DA98FF8F637.pdf</w:t>
        </w:r>
      </w:hyperlink>
    </w:p>
    <w:p w14:paraId="778DF5A6" w14:textId="77777777" w:rsidR="002B5B31" w:rsidRDefault="002B5B31" w:rsidP="00BE4488">
      <w:pPr>
        <w:spacing w:before="120"/>
        <w:jc w:val="left"/>
        <w:rPr>
          <w:rStyle w:val="Lienhypertexte"/>
          <w:rFonts w:cs="CMR10"/>
        </w:rPr>
      </w:pPr>
      <w:r w:rsidRPr="00776BEF">
        <w:rPr>
          <w:rFonts w:cs="CMR10"/>
        </w:rPr>
        <w:t>[</w:t>
      </w:r>
      <w:r w:rsidR="00F1621B">
        <w:rPr>
          <w:rFonts w:cs="CMR10"/>
        </w:rPr>
        <w:t>13</w:t>
      </w:r>
      <w:r w:rsidRPr="00776BEF">
        <w:rPr>
          <w:rFonts w:cs="CMR10"/>
        </w:rPr>
        <w:t>]:</w:t>
      </w:r>
      <w:r>
        <w:rPr>
          <w:rFonts w:cs="CMR10"/>
        </w:rPr>
        <w:t xml:space="preserve"> Le coupe-veille : une solution pour réduire sa consommation énergétique, </w:t>
      </w:r>
      <w:r w:rsidR="004E1FA3">
        <w:rPr>
          <w:rFonts w:cs="CMR10"/>
        </w:rPr>
        <w:t xml:space="preserve">choisir.com, septembre 2020, </w:t>
      </w:r>
      <w:hyperlink r:id="rId43" w:history="1">
        <w:r w:rsidR="004E1FA3" w:rsidRPr="005654E4">
          <w:rPr>
            <w:rStyle w:val="Lienhypertexte"/>
            <w:rFonts w:cs="CMR10"/>
          </w:rPr>
          <w:t>https://energie.choisir.com/article/4382/le-coupe-veille-une-solution-pour-reduire-sa-consommation-energetique</w:t>
        </w:r>
      </w:hyperlink>
    </w:p>
    <w:p w14:paraId="1C15E15C" w14:textId="77777777" w:rsidR="002A12FE" w:rsidRDefault="002A12FE" w:rsidP="00BE4488">
      <w:pPr>
        <w:spacing w:before="120"/>
        <w:jc w:val="left"/>
        <w:rPr>
          <w:rStyle w:val="Lienhypertexte"/>
        </w:rPr>
      </w:pPr>
      <w:r w:rsidRPr="00776BEF">
        <w:rPr>
          <w:rFonts w:cs="CMR10"/>
        </w:rPr>
        <w:t>[</w:t>
      </w:r>
      <w:r w:rsidR="00267904">
        <w:rPr>
          <w:rFonts w:cs="CMR10"/>
        </w:rPr>
        <w:t>14</w:t>
      </w:r>
      <w:r w:rsidRPr="00776BEF">
        <w:rPr>
          <w:rFonts w:cs="CMR10"/>
        </w:rPr>
        <w:t>]:</w:t>
      </w:r>
      <w:r>
        <w:rPr>
          <w:rFonts w:cs="CMR10"/>
        </w:rPr>
        <w:t xml:space="preserve"> </w:t>
      </w:r>
      <w:r w:rsidRPr="006227ED">
        <w:t>Le vrai coût énergétique du numérique</w:t>
      </w:r>
      <w:r>
        <w:t>, A.C.</w:t>
      </w:r>
      <w:r w:rsidRPr="006227ED">
        <w:t xml:space="preserve"> </w:t>
      </w:r>
      <w:proofErr w:type="spellStart"/>
      <w:r w:rsidRPr="006227ED">
        <w:t>O</w:t>
      </w:r>
      <w:r>
        <w:t>rgerie</w:t>
      </w:r>
      <w:proofErr w:type="spellEnd"/>
      <w:r>
        <w:t xml:space="preserve"> et </w:t>
      </w:r>
      <w:proofErr w:type="spellStart"/>
      <w:r>
        <w:t>Lefévre</w:t>
      </w:r>
      <w:proofErr w:type="spellEnd"/>
      <w:r>
        <w:t xml:space="preserve">, Pour la Science, 25 nov. 2020, </w:t>
      </w:r>
      <w:hyperlink r:id="rId44" w:history="1">
        <w:r w:rsidRPr="00E56F51">
          <w:rPr>
            <w:rStyle w:val="Lienhypertexte"/>
          </w:rPr>
          <w:t>https://www.pourlascience.fr/sd/environnement/le-vrai-cout-energetique-du-numerique-20490.php</w:t>
        </w:r>
      </w:hyperlink>
    </w:p>
    <w:p w14:paraId="0E734A3C" w14:textId="77777777" w:rsidR="002B5B31" w:rsidRDefault="004E1FA3" w:rsidP="00BE4488">
      <w:pPr>
        <w:spacing w:before="120"/>
        <w:jc w:val="left"/>
        <w:rPr>
          <w:rStyle w:val="Lienhypertexte"/>
        </w:rPr>
      </w:pPr>
      <w:r w:rsidRPr="00776BEF">
        <w:rPr>
          <w:rFonts w:cs="CMR10"/>
        </w:rPr>
        <w:t>[</w:t>
      </w:r>
      <w:r w:rsidR="00267904">
        <w:rPr>
          <w:rFonts w:cs="CMR10"/>
        </w:rPr>
        <w:t>15</w:t>
      </w:r>
      <w:r w:rsidRPr="00776BEF">
        <w:rPr>
          <w:rFonts w:cs="CMR10"/>
        </w:rPr>
        <w:t>]:</w:t>
      </w:r>
      <w:r>
        <w:rPr>
          <w:rFonts w:cs="CMR10"/>
        </w:rPr>
        <w:t xml:space="preserve"> </w:t>
      </w:r>
      <w:r w:rsidR="002B5B31">
        <w:t xml:space="preserve">Des appareils électroniques aux services en ligne : une diffusion massive des nouvelles technologies en 30 ans, Insee, juillet 2019, </w:t>
      </w:r>
      <w:hyperlink r:id="rId45" w:history="1">
        <w:r w:rsidR="002B5B31" w:rsidRPr="00C25F19">
          <w:rPr>
            <w:rStyle w:val="Lienhypertexte"/>
          </w:rPr>
          <w:t>https://www.insee.fr/fr/statistiques/4193175</w:t>
        </w:r>
      </w:hyperlink>
    </w:p>
    <w:p w14:paraId="77F3A208" w14:textId="77777777" w:rsidR="004E1FA3" w:rsidRDefault="004E1FA3" w:rsidP="00BE4488">
      <w:pPr>
        <w:spacing w:before="120"/>
        <w:jc w:val="left"/>
        <w:rPr>
          <w:rStyle w:val="Lienhypertexte"/>
          <w:rFonts w:cs="CMR10"/>
        </w:rPr>
      </w:pPr>
      <w:r w:rsidRPr="00776BEF">
        <w:rPr>
          <w:rFonts w:cs="CMR10"/>
        </w:rPr>
        <w:t>[</w:t>
      </w:r>
      <w:r w:rsidR="00951740">
        <w:rPr>
          <w:rFonts w:cs="CMR10"/>
        </w:rPr>
        <w:t>16</w:t>
      </w:r>
      <w:r w:rsidRPr="00776BEF">
        <w:rPr>
          <w:rFonts w:cs="CMR10"/>
        </w:rPr>
        <w:t>]:</w:t>
      </w:r>
      <w:r>
        <w:rPr>
          <w:rFonts w:cs="CMR10"/>
        </w:rPr>
        <w:t xml:space="preserve"> les appareils en veille, ça consomme et ça coûte cher, </w:t>
      </w:r>
      <w:proofErr w:type="spellStart"/>
      <w:r>
        <w:rPr>
          <w:rFonts w:cs="CMR10"/>
        </w:rPr>
        <w:t>ecoconso</w:t>
      </w:r>
      <w:proofErr w:type="spellEnd"/>
      <w:r>
        <w:rPr>
          <w:rFonts w:cs="CMR10"/>
        </w:rPr>
        <w:t xml:space="preserve">, 05/2018, consulté en juin 2020, </w:t>
      </w:r>
      <w:hyperlink r:id="rId46" w:history="1">
        <w:r w:rsidRPr="00860E48">
          <w:rPr>
            <w:rStyle w:val="Lienhypertexte"/>
            <w:rFonts w:cs="CMR10"/>
          </w:rPr>
          <w:t>https://www.ecoconso.be/fr/content/les-appareils-en-veille-ca-consomme-et-ca-coute-cher</w:t>
        </w:r>
      </w:hyperlink>
    </w:p>
    <w:p w14:paraId="589BFCA0" w14:textId="77777777" w:rsidR="00BD2B59" w:rsidRPr="008C1B74" w:rsidRDefault="00E80BA9" w:rsidP="00BE4488">
      <w:pPr>
        <w:spacing w:before="120"/>
        <w:jc w:val="left"/>
        <w:rPr>
          <w:rStyle w:val="Lienhypertexte"/>
          <w:lang w:val="en-GB"/>
        </w:rPr>
      </w:pPr>
      <w:r w:rsidRPr="00F1621B">
        <w:rPr>
          <w:rFonts w:cs="CMR10"/>
          <w:lang w:val="en-GB"/>
        </w:rPr>
        <w:t>[</w:t>
      </w:r>
      <w:r w:rsidR="00951740" w:rsidRPr="00F1621B">
        <w:rPr>
          <w:rFonts w:cs="CMR10"/>
          <w:lang w:val="en-GB"/>
        </w:rPr>
        <w:t>1</w:t>
      </w:r>
      <w:r w:rsidR="00951740">
        <w:rPr>
          <w:rFonts w:cs="CMR10"/>
          <w:lang w:val="en-GB"/>
        </w:rPr>
        <w:t>7</w:t>
      </w:r>
      <w:r w:rsidRPr="00F1621B">
        <w:rPr>
          <w:rFonts w:cs="CMR10"/>
          <w:lang w:val="en-GB"/>
        </w:rPr>
        <w:t xml:space="preserve">]: </w:t>
      </w:r>
      <w:r w:rsidRPr="00F1621B">
        <w:rPr>
          <w:lang w:val="en-GB"/>
        </w:rPr>
        <w:t xml:space="preserve">Visualisation based upon the UN IRP Global Material Flows Database. Vienna University of Economics and Business. Online available at: </w:t>
      </w:r>
      <w:hyperlink r:id="rId47" w:history="1">
        <w:r w:rsidR="009E14BA" w:rsidRPr="00A4475B">
          <w:rPr>
            <w:rStyle w:val="Lienhypertexte"/>
            <w:lang w:val="en-GB"/>
          </w:rPr>
          <w:t>materialflows.net/visualisation-centre</w:t>
        </w:r>
      </w:hyperlink>
    </w:p>
    <w:p w14:paraId="7337595E" w14:textId="77777777" w:rsidR="00BD7287" w:rsidRDefault="00BD7287" w:rsidP="00BE4488">
      <w:pPr>
        <w:spacing w:before="120"/>
        <w:jc w:val="left"/>
        <w:rPr>
          <w:rStyle w:val="Lienhypertexte"/>
          <w:rFonts w:cs="CMR10"/>
        </w:rPr>
      </w:pPr>
      <w:r w:rsidRPr="00776BEF">
        <w:t>[</w:t>
      </w:r>
      <w:r w:rsidR="008B35E9">
        <w:t>18</w:t>
      </w:r>
      <w:r w:rsidRPr="00776BEF">
        <w:t>]:</w:t>
      </w:r>
      <w:r>
        <w:t xml:space="preserve"> Concepts et chiffres d’énergie : Conversion d’énergie e</w:t>
      </w:r>
      <w:r w:rsidR="008F4030">
        <w:t>t</w:t>
      </w:r>
      <w:r>
        <w:t xml:space="preserve"> analyse sur cycle de vie, D</w:t>
      </w:r>
      <w:r w:rsidR="00951740">
        <w:t>. </w:t>
      </w:r>
      <w:proofErr w:type="spellStart"/>
      <w:r>
        <w:t>Chareyron</w:t>
      </w:r>
      <w:proofErr w:type="spellEnd"/>
      <w:r>
        <w:t xml:space="preserve">, </w:t>
      </w:r>
      <w:r w:rsidR="008F4030">
        <w:t xml:space="preserve">H. Horsin </w:t>
      </w:r>
      <w:proofErr w:type="spellStart"/>
      <w:r w:rsidR="008F4030">
        <w:t>Molinaro</w:t>
      </w:r>
      <w:proofErr w:type="spellEnd"/>
      <w:r w:rsidR="008F4030">
        <w:t xml:space="preserve">, B. </w:t>
      </w:r>
      <w:proofErr w:type="spellStart"/>
      <w:r w:rsidR="008F4030">
        <w:t>Multon</w:t>
      </w:r>
      <w:proofErr w:type="spellEnd"/>
      <w:r w:rsidR="008F4030">
        <w:t xml:space="preserve">, </w:t>
      </w:r>
      <w:r>
        <w:t>Janvier 2021</w:t>
      </w:r>
      <w:r w:rsidR="006C22F0">
        <w:t xml:space="preserve">, </w:t>
      </w:r>
      <w:hyperlink r:id="rId48" w:history="1">
        <w:r w:rsidR="00951740" w:rsidRPr="003A54E8">
          <w:rPr>
            <w:rStyle w:val="Lienhypertexte"/>
            <w:rFonts w:cs="CMR10"/>
          </w:rPr>
          <w:t>https://eduscol.education.fr/sti/si-ens-paris-saclay/ressources_pedagogiques/concepts-chiffres-energie-conversion-denergie-et-analyse-sur-cycle-de-vie</w:t>
        </w:r>
      </w:hyperlink>
    </w:p>
    <w:p w14:paraId="2D6C63C9" w14:textId="77777777" w:rsidR="0053286A" w:rsidRDefault="0053286A" w:rsidP="00BE4488">
      <w:pPr>
        <w:spacing w:before="120"/>
        <w:jc w:val="left"/>
        <w:rPr>
          <w:rStyle w:val="Lienhypertexte"/>
        </w:rPr>
      </w:pPr>
      <w:r w:rsidRPr="00776BEF">
        <w:rPr>
          <w:rFonts w:cs="CMR10"/>
        </w:rPr>
        <w:t>[</w:t>
      </w:r>
      <w:r w:rsidR="00AA7C52">
        <w:rPr>
          <w:rFonts w:cs="CMR10"/>
        </w:rPr>
        <w:t>19</w:t>
      </w:r>
      <w:r w:rsidRPr="00776BEF">
        <w:rPr>
          <w:rFonts w:cs="CMR10"/>
        </w:rPr>
        <w:t>]:</w:t>
      </w:r>
      <w:r>
        <w:rPr>
          <w:rFonts w:cs="CMR10"/>
        </w:rPr>
        <w:t xml:space="preserve"> </w:t>
      </w:r>
      <w:r>
        <w:t xml:space="preserve">Le recyclage en France, faits et chiffres, ADEME, 2017, </w:t>
      </w:r>
      <w:hyperlink r:id="rId49" w:history="1">
        <w:r w:rsidRPr="005654E4">
          <w:rPr>
            <w:rStyle w:val="Lienhypertexte"/>
          </w:rPr>
          <w:t>https://www.ademe.fr/sites/default/files/assets/documents/bilan_recyclage_en_france_lessentiel2017_010994.pdf</w:t>
        </w:r>
      </w:hyperlink>
    </w:p>
    <w:p w14:paraId="323CDA95" w14:textId="77777777" w:rsidR="00C20BAA" w:rsidRDefault="0016690C" w:rsidP="00BE4488">
      <w:pPr>
        <w:spacing w:before="120"/>
        <w:jc w:val="left"/>
        <w:rPr>
          <w:rFonts w:cs="CMR10"/>
        </w:rPr>
      </w:pPr>
      <w:r w:rsidRPr="00776BEF">
        <w:rPr>
          <w:rFonts w:cs="CMR10"/>
        </w:rPr>
        <w:t>[</w:t>
      </w:r>
      <w:r w:rsidR="00863BD5">
        <w:rPr>
          <w:rFonts w:cs="CMR10"/>
        </w:rPr>
        <w:t>20</w:t>
      </w:r>
      <w:r w:rsidRPr="00776BEF">
        <w:rPr>
          <w:rFonts w:cs="CMR10"/>
        </w:rPr>
        <w:t>]:</w:t>
      </w:r>
      <w:r w:rsidR="00C20BAA">
        <w:rPr>
          <w:rFonts w:cs="CMR10"/>
        </w:rPr>
        <w:t xml:space="preserve"> </w:t>
      </w:r>
      <w:r w:rsidR="00C20BAA">
        <w:t xml:space="preserve">Déchets, chiffres clés, ADEME, 2019, </w:t>
      </w:r>
      <w:hyperlink r:id="rId50" w:history="1">
        <w:r w:rsidR="00C20BAA" w:rsidRPr="002B49AA">
          <w:rPr>
            <w:rStyle w:val="Lienhypertexte"/>
          </w:rPr>
          <w:t>https://www.actu-environnement.com/media/pdf/news-35407-chiffres-cles-dechets-2019.pdf</w:t>
        </w:r>
      </w:hyperlink>
    </w:p>
    <w:p w14:paraId="639A4152" w14:textId="77777777" w:rsidR="00863BD5" w:rsidRPr="00CE519D" w:rsidRDefault="00C20BAA" w:rsidP="00BE4488">
      <w:pPr>
        <w:spacing w:before="120"/>
        <w:jc w:val="left"/>
        <w:rPr>
          <w:rFonts w:cs="CMR10"/>
        </w:rPr>
      </w:pPr>
      <w:r w:rsidRPr="00776BEF">
        <w:rPr>
          <w:rFonts w:cs="CMR10"/>
        </w:rPr>
        <w:t>[</w:t>
      </w:r>
      <w:r w:rsidR="00863BD5">
        <w:rPr>
          <w:rFonts w:cs="CMR10"/>
        </w:rPr>
        <w:t>21</w:t>
      </w:r>
      <w:r w:rsidRPr="00776BEF">
        <w:rPr>
          <w:rFonts w:cs="CMR10"/>
        </w:rPr>
        <w:t>]:</w:t>
      </w:r>
      <w:r>
        <w:rPr>
          <w:rFonts w:cs="CMR10"/>
        </w:rPr>
        <w:t xml:space="preserve"> </w:t>
      </w:r>
      <w:r w:rsidR="0016690C">
        <w:rPr>
          <w:rFonts w:cs="CMR10"/>
        </w:rPr>
        <w:t xml:space="preserve">Recyclage de métaux ferreux et non-ferreux, </w:t>
      </w:r>
      <w:proofErr w:type="spellStart"/>
      <w:r w:rsidR="0016690C">
        <w:rPr>
          <w:rFonts w:cs="CMR10"/>
        </w:rPr>
        <w:t>Aubord</w:t>
      </w:r>
      <w:proofErr w:type="spellEnd"/>
      <w:r w:rsidR="0016690C">
        <w:rPr>
          <w:rFonts w:cs="CMR10"/>
        </w:rPr>
        <w:t xml:space="preserve"> Recyclage, </w:t>
      </w:r>
      <w:hyperlink r:id="rId51" w:history="1">
        <w:r w:rsidR="00863BD5" w:rsidRPr="0028269E">
          <w:rPr>
            <w:rStyle w:val="Lienhypertexte"/>
            <w:rFonts w:cs="CMR10"/>
          </w:rPr>
          <w:t>https://www.aubord-recyclage.fr/recyclage-metaux-ferreux-non-ferreux/</w:t>
        </w:r>
      </w:hyperlink>
    </w:p>
    <w:p w14:paraId="2FC8D3A9" w14:textId="77777777" w:rsidR="0016690C" w:rsidRDefault="0016690C" w:rsidP="00BE4488">
      <w:pPr>
        <w:spacing w:before="120"/>
        <w:jc w:val="left"/>
        <w:rPr>
          <w:rStyle w:val="Lienhypertexte"/>
          <w:rFonts w:cs="CMR10"/>
        </w:rPr>
      </w:pPr>
      <w:r w:rsidRPr="00776BEF">
        <w:rPr>
          <w:rFonts w:cs="CMR10"/>
        </w:rPr>
        <w:t>[</w:t>
      </w:r>
      <w:r w:rsidR="00863BD5">
        <w:rPr>
          <w:rFonts w:cs="CMR10"/>
        </w:rPr>
        <w:t>22</w:t>
      </w:r>
      <w:r w:rsidRPr="00776BEF">
        <w:rPr>
          <w:rFonts w:cs="CMR10"/>
        </w:rPr>
        <w:t>]:</w:t>
      </w:r>
      <w:r>
        <w:rPr>
          <w:rFonts w:cs="CMR10"/>
        </w:rPr>
        <w:t xml:space="preserve"> Nos solutions Plomb, </w:t>
      </w:r>
      <w:proofErr w:type="spellStart"/>
      <w:r>
        <w:rPr>
          <w:rFonts w:cs="CMR10"/>
        </w:rPr>
        <w:t>Pyrotek</w:t>
      </w:r>
      <w:proofErr w:type="spellEnd"/>
      <w:r>
        <w:rPr>
          <w:rFonts w:cs="CMR10"/>
        </w:rPr>
        <w:t xml:space="preserve">, </w:t>
      </w:r>
      <w:hyperlink r:id="rId52" w:history="1">
        <w:r w:rsidRPr="004C46E8">
          <w:rPr>
            <w:rStyle w:val="Lienhypertexte"/>
            <w:rFonts w:cs="CMR10"/>
          </w:rPr>
          <w:t>https://www.pyrotek.com/nos-solutions/plomb/index?Locale=fr_FR</w:t>
        </w:r>
      </w:hyperlink>
    </w:p>
    <w:p w14:paraId="466CD150" w14:textId="77777777" w:rsidR="005821E9" w:rsidRDefault="0068258E" w:rsidP="00BE4488">
      <w:pPr>
        <w:spacing w:before="120"/>
        <w:jc w:val="left"/>
        <w:rPr>
          <w:rFonts w:cs="CMR10"/>
        </w:rPr>
      </w:pPr>
      <w:r w:rsidRPr="00776BEF">
        <w:rPr>
          <w:rFonts w:cs="CMR10"/>
        </w:rPr>
        <w:t>[</w:t>
      </w:r>
      <w:r w:rsidR="00863BD5">
        <w:rPr>
          <w:rFonts w:cs="CMR10"/>
        </w:rPr>
        <w:t>23</w:t>
      </w:r>
      <w:r w:rsidRPr="00776BEF">
        <w:rPr>
          <w:rFonts w:cs="CMR10"/>
        </w:rPr>
        <w:t>]:</w:t>
      </w:r>
      <w:r>
        <w:rPr>
          <w:rFonts w:cs="CMR10"/>
        </w:rPr>
        <w:t xml:space="preserve"> </w:t>
      </w:r>
      <w:r w:rsidR="00DD567F">
        <w:rPr>
          <w:rFonts w:cs="CMR10"/>
        </w:rPr>
        <w:t>La collecte des</w:t>
      </w:r>
      <w:r>
        <w:rPr>
          <w:rFonts w:cs="CMR10"/>
        </w:rPr>
        <w:t xml:space="preserve"> DEEE</w:t>
      </w:r>
      <w:r w:rsidR="00DD567F">
        <w:rPr>
          <w:rFonts w:cs="CMR10"/>
        </w:rPr>
        <w:t xml:space="preserve"> augmente de 5% en 2019, E. Gomez, environnement magazine.fr</w:t>
      </w:r>
      <w:r>
        <w:rPr>
          <w:rFonts w:cs="CMR10"/>
        </w:rPr>
        <w:t xml:space="preserve">, </w:t>
      </w:r>
      <w:r w:rsidR="00DD567F">
        <w:rPr>
          <w:rFonts w:cs="CMR10"/>
        </w:rPr>
        <w:t>mars 2020</w:t>
      </w:r>
      <w:r>
        <w:rPr>
          <w:rFonts w:cs="CMR10"/>
        </w:rPr>
        <w:t xml:space="preserve">, </w:t>
      </w:r>
      <w:hyperlink r:id="rId53" w:history="1">
        <w:r w:rsidR="00DD567F" w:rsidRPr="002F71B7">
          <w:rPr>
            <w:rStyle w:val="Lienhypertexte"/>
            <w:rFonts w:cs="CMR10"/>
          </w:rPr>
          <w:t>https://www.environnement-magazine.fr/recyclage/article/2020/03/05/128195/collecte-des-deee-augmente-2019</w:t>
        </w:r>
      </w:hyperlink>
    </w:p>
    <w:p w14:paraId="57A6B883" w14:textId="380322E5" w:rsidR="00DD567F" w:rsidRDefault="00590E25" w:rsidP="00BE4488">
      <w:pPr>
        <w:spacing w:before="120"/>
        <w:jc w:val="left"/>
        <w:rPr>
          <w:rFonts w:cs="CMR10"/>
        </w:rPr>
      </w:pPr>
      <w:r w:rsidRPr="00776BEF">
        <w:rPr>
          <w:rFonts w:cs="CMR10"/>
        </w:rPr>
        <w:t>[</w:t>
      </w:r>
      <w:r w:rsidR="00863BD5">
        <w:rPr>
          <w:rFonts w:cs="CMR10"/>
        </w:rPr>
        <w:t>24</w:t>
      </w:r>
      <w:r w:rsidRPr="00776BEF">
        <w:rPr>
          <w:rFonts w:cs="CMR10"/>
        </w:rPr>
        <w:t>]:</w:t>
      </w:r>
      <w:r>
        <w:rPr>
          <w:rFonts w:cs="CMR10"/>
        </w:rPr>
        <w:t xml:space="preserve"> Les chiffres clés de l’activité d’</w:t>
      </w:r>
      <w:proofErr w:type="spellStart"/>
      <w:r>
        <w:rPr>
          <w:rFonts w:cs="CMR10"/>
        </w:rPr>
        <w:t>ecosystem</w:t>
      </w:r>
      <w:proofErr w:type="spellEnd"/>
      <w:r>
        <w:rPr>
          <w:rFonts w:cs="CMR10"/>
        </w:rPr>
        <w:t xml:space="preserve">, consulté le 13 novembre 2020, </w:t>
      </w:r>
      <w:hyperlink r:id="rId54" w:history="1">
        <w:r w:rsidRPr="002F71B7">
          <w:rPr>
            <w:rStyle w:val="Lienhypertexte"/>
            <w:rFonts w:cs="CMR10"/>
          </w:rPr>
          <w:t>https://www.ecosystem.eco/fr/article/resultats</w:t>
        </w:r>
      </w:hyperlink>
    </w:p>
    <w:p w14:paraId="32015A40" w14:textId="77777777" w:rsidR="00167CDA" w:rsidRDefault="00167CDA" w:rsidP="00BE4488">
      <w:pPr>
        <w:spacing w:before="120"/>
        <w:jc w:val="left"/>
        <w:rPr>
          <w:rStyle w:val="Lienhypertexte"/>
          <w:rFonts w:cs="CMR10"/>
        </w:rPr>
      </w:pPr>
      <w:r>
        <w:t>[</w:t>
      </w:r>
      <w:r w:rsidR="00863BD5">
        <w:t>25</w:t>
      </w:r>
      <w:r>
        <w:t xml:space="preserve">]: Consultations publiques, indice de réparabilité pour les produits électriques et électroniques, ministère de la transition écologique et solidaire, consulté le 17 novembre 2020, </w:t>
      </w:r>
      <w:hyperlink r:id="rId55" w:history="1">
        <w:r w:rsidRPr="00B159B0">
          <w:rPr>
            <w:rStyle w:val="Lienhypertexte"/>
            <w:rFonts w:cs="CMR10"/>
          </w:rPr>
          <w:t>http://www.consultations-publiques.developpement-durable.gouv.fr/indice-de-reparabilite-pour-les-produits-a2178.html</w:t>
        </w:r>
      </w:hyperlink>
    </w:p>
    <w:p w14:paraId="78F008DC" w14:textId="77777777" w:rsidR="00167CDA" w:rsidRDefault="00D45407" w:rsidP="00BE4488">
      <w:pPr>
        <w:spacing w:before="120"/>
        <w:jc w:val="left"/>
        <w:rPr>
          <w:rStyle w:val="Lienhypertexte"/>
        </w:rPr>
      </w:pPr>
      <w:r>
        <w:lastRenderedPageBreak/>
        <w:t>[</w:t>
      </w:r>
      <w:r w:rsidR="000D3691">
        <w:t>26</w:t>
      </w:r>
      <w:r>
        <w:t xml:space="preserve">]: Anti-gaspillage, l’indice de réparabilité des appareils se précise, Que choisir, juillet 2020, </w:t>
      </w:r>
      <w:hyperlink r:id="rId56" w:history="1">
        <w:r w:rsidRPr="00B159B0">
          <w:rPr>
            <w:rStyle w:val="Lienhypertexte"/>
          </w:rPr>
          <w:t>https://www.quechoisir.org/actualite-antigaspillage-l-indice-de-reparabilite-des-appareils-se-precise-n81579/</w:t>
        </w:r>
      </w:hyperlink>
    </w:p>
    <w:p w14:paraId="2B90E84B" w14:textId="77777777" w:rsidR="002C774C" w:rsidRDefault="002C774C" w:rsidP="00BE4488">
      <w:pPr>
        <w:spacing w:before="120"/>
        <w:jc w:val="left"/>
        <w:rPr>
          <w:rStyle w:val="Lienhypertexte"/>
        </w:rPr>
      </w:pPr>
      <w:r>
        <w:t>[</w:t>
      </w:r>
      <w:r w:rsidR="000D3691">
        <w:t>27</w:t>
      </w:r>
      <w:r>
        <w:t xml:space="preserve">]: </w:t>
      </w:r>
      <w:hyperlink r:id="rId57" w:history="1">
        <w:r w:rsidRPr="00E56F51">
          <w:rPr>
            <w:rStyle w:val="Lienhypertexte"/>
          </w:rPr>
          <w:t>https://www.indicereparabilite.fr/</w:t>
        </w:r>
      </w:hyperlink>
    </w:p>
    <w:p w14:paraId="712C4F33" w14:textId="77777777" w:rsidR="00D761FB" w:rsidRDefault="00D761FB" w:rsidP="00BE4488">
      <w:pPr>
        <w:spacing w:before="120"/>
        <w:jc w:val="left"/>
        <w:rPr>
          <w:rStyle w:val="Lienhypertexte"/>
        </w:rPr>
      </w:pPr>
      <w:r>
        <w:t>[</w:t>
      </w:r>
      <w:r w:rsidR="000D3691">
        <w:t>28</w:t>
      </w:r>
      <w:r>
        <w:t xml:space="preserve">]: </w:t>
      </w:r>
      <w:r w:rsidR="00F97432">
        <w:t xml:space="preserve">Smartphones reconditionnés : où en est le marché ? ITR News, février 2020, </w:t>
      </w:r>
      <w:hyperlink r:id="rId58" w:history="1">
        <w:r w:rsidR="00F97432" w:rsidRPr="00976370">
          <w:rPr>
            <w:rStyle w:val="Lienhypertexte"/>
          </w:rPr>
          <w:t>https://itrnews.com/articles/183846/smartphones-reconditionnes-ou-en-est-le-marche.html</w:t>
        </w:r>
      </w:hyperlink>
    </w:p>
    <w:p w14:paraId="4BE73C15" w14:textId="77777777" w:rsidR="00D761FB" w:rsidRDefault="00F97432" w:rsidP="00BE4488">
      <w:pPr>
        <w:spacing w:before="120"/>
        <w:jc w:val="left"/>
        <w:rPr>
          <w:rStyle w:val="Lienhypertexte"/>
        </w:rPr>
      </w:pPr>
      <w:r>
        <w:t>[</w:t>
      </w:r>
      <w:r w:rsidR="000D3691">
        <w:t>29</w:t>
      </w:r>
      <w:r>
        <w:t>]:</w:t>
      </w:r>
      <w:r w:rsidRPr="00F97432">
        <w:t xml:space="preserve"> </w:t>
      </w:r>
      <w:r>
        <w:t xml:space="preserve">Baromètre annuel </w:t>
      </w:r>
      <w:proofErr w:type="spellStart"/>
      <w:r>
        <w:t>recommerce</w:t>
      </w:r>
      <w:proofErr w:type="spellEnd"/>
      <w:r>
        <w:t xml:space="preserve"> 2020 par </w:t>
      </w:r>
      <w:proofErr w:type="spellStart"/>
      <w:r>
        <w:t>Kantar</w:t>
      </w:r>
      <w:proofErr w:type="spellEnd"/>
      <w:r>
        <w:t xml:space="preserve"> TNS – Communiqué de presse, mars 2020, </w:t>
      </w:r>
      <w:hyperlink r:id="rId59" w:history="1">
        <w:r w:rsidRPr="00976370">
          <w:rPr>
            <w:rStyle w:val="Lienhypertexte"/>
          </w:rPr>
          <w:t>https://www.recommerce-group.com/barometre-annuel-recommerce-2020-par-kantar-tns-communique-de-presse/</w:t>
        </w:r>
      </w:hyperlink>
    </w:p>
    <w:p w14:paraId="00F8C27B" w14:textId="77777777" w:rsidR="00F071A5" w:rsidRPr="008C1B74" w:rsidRDefault="00403835" w:rsidP="00BE4488">
      <w:pPr>
        <w:spacing w:before="120"/>
        <w:jc w:val="left"/>
        <w:rPr>
          <w:rStyle w:val="Lienhypertexte"/>
          <w:lang w:val="en-GB"/>
        </w:rPr>
      </w:pPr>
      <w:r w:rsidRPr="008C1B74">
        <w:rPr>
          <w:lang w:val="en-GB"/>
        </w:rPr>
        <w:t>[</w:t>
      </w:r>
      <w:r w:rsidR="008F4030" w:rsidRPr="008C1B74">
        <w:rPr>
          <w:lang w:val="en-GB"/>
        </w:rPr>
        <w:t>3</w:t>
      </w:r>
      <w:r w:rsidR="00F071A5" w:rsidRPr="00875A60">
        <w:rPr>
          <w:lang w:val="en-GB"/>
        </w:rPr>
        <w:t>0</w:t>
      </w:r>
      <w:r w:rsidRPr="008C1B74">
        <w:rPr>
          <w:lang w:val="en-GB"/>
        </w:rPr>
        <w:t xml:space="preserve">]: </w:t>
      </w:r>
      <w:r w:rsidR="00875A60">
        <w:rPr>
          <w:lang w:val="en-GB"/>
        </w:rPr>
        <w:t xml:space="preserve">Analysis </w:t>
      </w:r>
      <w:r w:rsidR="00875A60" w:rsidRPr="008C1B74">
        <w:rPr>
          <w:lang w:val="en-GB"/>
        </w:rPr>
        <w:t>of</w:t>
      </w:r>
      <w:r w:rsidR="00875A60">
        <w:rPr>
          <w:lang w:val="en-GB"/>
        </w:rPr>
        <w:t xml:space="preserve"> </w:t>
      </w:r>
      <w:r w:rsidR="00F071A5" w:rsidRPr="008C1B74">
        <w:rPr>
          <w:lang w:val="en-GB"/>
        </w:rPr>
        <w:t>material efficiency aspects of personal computers product group</w:t>
      </w:r>
      <w:r w:rsidRPr="008C1B74">
        <w:rPr>
          <w:lang w:val="en-GB"/>
        </w:rPr>
        <w:t xml:space="preserve">, </w:t>
      </w:r>
      <w:r w:rsidR="00F071A5" w:rsidRPr="00875A60">
        <w:rPr>
          <w:lang w:val="en-GB"/>
        </w:rPr>
        <w:t>JRC Technical Reports</w:t>
      </w:r>
      <w:r w:rsidRPr="008C1B74">
        <w:rPr>
          <w:lang w:val="en-GB"/>
        </w:rPr>
        <w:t xml:space="preserve">, </w:t>
      </w:r>
      <w:proofErr w:type="spellStart"/>
      <w:r w:rsidR="00F071A5" w:rsidRPr="00875A60">
        <w:rPr>
          <w:lang w:val="en-GB"/>
        </w:rPr>
        <w:t>janvier</w:t>
      </w:r>
      <w:proofErr w:type="spellEnd"/>
      <w:r w:rsidR="00F071A5" w:rsidRPr="00875A60">
        <w:rPr>
          <w:lang w:val="en-GB"/>
        </w:rPr>
        <w:t xml:space="preserve"> 2018</w:t>
      </w:r>
      <w:r w:rsidRPr="008C1B74">
        <w:rPr>
          <w:lang w:val="en-GB"/>
        </w:rPr>
        <w:t xml:space="preserve">, </w:t>
      </w:r>
      <w:hyperlink r:id="rId60" w:history="1">
        <w:r w:rsidR="00875A60" w:rsidRPr="00756BAD">
          <w:rPr>
            <w:rStyle w:val="Lienhypertexte"/>
            <w:lang w:val="en-GB"/>
          </w:rPr>
          <w:t>https://publications.jrc.ec.europa.eu/repository/bitstream/JRC105156/20180115_-_jrc_technical_report_online_v02.pdf</w:t>
        </w:r>
      </w:hyperlink>
    </w:p>
    <w:p w14:paraId="62499BC8" w14:textId="417EF8C1" w:rsidR="00F071A5" w:rsidRPr="00F071A5" w:rsidRDefault="00875A60" w:rsidP="00BE4488">
      <w:pPr>
        <w:spacing w:before="120"/>
        <w:jc w:val="left"/>
      </w:pPr>
      <w:r>
        <w:t>[31]</w:t>
      </w:r>
      <w:r w:rsidR="00541CA5">
        <w:t>:</w:t>
      </w:r>
      <w:r>
        <w:t xml:space="preserve"> </w:t>
      </w:r>
      <w:r w:rsidRPr="00F071A5">
        <w:t>Votre prochain PC sera assurément un PC reconditionné</w:t>
      </w:r>
      <w:r>
        <w:t xml:space="preserve">, INR, Juin 2020, </w:t>
      </w:r>
      <w:hyperlink r:id="rId61" w:history="1">
        <w:r w:rsidRPr="00875A60">
          <w:rPr>
            <w:rStyle w:val="Lienhypertexte"/>
          </w:rPr>
          <w:t>https://institutnr.org/votre-prochain-pc-sera-assurement-un-pc-reconditionne</w:t>
        </w:r>
      </w:hyperlink>
    </w:p>
    <w:p w14:paraId="02216814" w14:textId="4A7B3F53" w:rsidR="0018613B" w:rsidRDefault="008553AE" w:rsidP="00BE4488">
      <w:pPr>
        <w:spacing w:before="120"/>
        <w:jc w:val="left"/>
      </w:pPr>
      <w:r w:rsidRPr="00AA17E1">
        <w:rPr>
          <w:rFonts w:cs="CMR10"/>
        </w:rPr>
        <w:t>[</w:t>
      </w:r>
      <w:r w:rsidR="00541CA5">
        <w:rPr>
          <w:rFonts w:cs="CMR10"/>
        </w:rPr>
        <w:t>32</w:t>
      </w:r>
      <w:r w:rsidRPr="00AA17E1">
        <w:rPr>
          <w:rFonts w:cs="CMR10"/>
        </w:rPr>
        <w:t xml:space="preserve">]: </w:t>
      </w:r>
      <w:r w:rsidR="0018613B">
        <w:t xml:space="preserve">La demande énergétique mondiale est sous-estimée, et c’est un vrai problème pour le climat, V. Court, The Conversation, avril 2021, </w:t>
      </w:r>
      <w:hyperlink r:id="rId62" w:history="1">
        <w:r w:rsidRPr="00571073">
          <w:rPr>
            <w:rStyle w:val="Lienhypertexte"/>
          </w:rPr>
          <w:t>https://theconversation.com/la-demande-energetique-mondiale-est-sous-estimee-et-cest-un-vrai-probleme-pour-le-climat-158042</w:t>
        </w:r>
      </w:hyperlink>
    </w:p>
    <w:p w14:paraId="1EAF8BA4" w14:textId="75393C59" w:rsidR="00756BAD" w:rsidRDefault="00F35B88" w:rsidP="00BE4488">
      <w:pPr>
        <w:spacing w:before="120"/>
        <w:jc w:val="left"/>
        <w:rPr>
          <w:rStyle w:val="Lienhypertexte"/>
          <w:rFonts w:cs="CMR10"/>
        </w:rPr>
      </w:pPr>
      <w:r>
        <w:rPr>
          <w:rFonts w:cs="CMR10"/>
        </w:rPr>
        <w:t>[</w:t>
      </w:r>
      <w:r w:rsidR="00541CA5">
        <w:rPr>
          <w:rFonts w:cs="CMR10"/>
        </w:rPr>
        <w:t>33</w:t>
      </w:r>
      <w:r>
        <w:rPr>
          <w:rFonts w:cs="CMR10"/>
        </w:rPr>
        <w:t xml:space="preserve">] : Concepts et chiffres de l’énergie : Réserves et ressources en énergie et matières premières non énergétiques, D. </w:t>
      </w:r>
      <w:proofErr w:type="spellStart"/>
      <w:r>
        <w:rPr>
          <w:rFonts w:cs="CMR10"/>
        </w:rPr>
        <w:t>Chareyron</w:t>
      </w:r>
      <w:proofErr w:type="spellEnd"/>
      <w:r>
        <w:rPr>
          <w:rFonts w:cs="CMR10"/>
        </w:rPr>
        <w:t xml:space="preserve">, H. Horsin </w:t>
      </w:r>
      <w:proofErr w:type="spellStart"/>
      <w:r>
        <w:rPr>
          <w:rFonts w:cs="CMR10"/>
        </w:rPr>
        <w:t>Molinaro</w:t>
      </w:r>
      <w:proofErr w:type="spellEnd"/>
      <w:r>
        <w:rPr>
          <w:rFonts w:cs="CMR10"/>
        </w:rPr>
        <w:t xml:space="preserve">, B. </w:t>
      </w:r>
      <w:proofErr w:type="spellStart"/>
      <w:r>
        <w:rPr>
          <w:rFonts w:cs="CMR10"/>
        </w:rPr>
        <w:t>Multon</w:t>
      </w:r>
      <w:proofErr w:type="spellEnd"/>
      <w:r>
        <w:rPr>
          <w:rFonts w:cs="CMR10"/>
        </w:rPr>
        <w:t xml:space="preserve">, octobre 2020, </w:t>
      </w:r>
      <w:hyperlink r:id="rId63" w:history="1">
        <w:r w:rsidR="00E97A1C" w:rsidRPr="00571073">
          <w:rPr>
            <w:rStyle w:val="Lienhypertexte"/>
            <w:rFonts w:cs="CMR10"/>
          </w:rPr>
          <w:t>https://eduscol.education.fr/sti/si-ens-paris-saclay/ressources_pedagogiques/les-chiffres-de-lenergie-reserves-et-ressources-en-energie-et-matieres-premieres-non-energetiques</w:t>
        </w:r>
      </w:hyperlink>
    </w:p>
    <w:p w14:paraId="26B67625" w14:textId="4A473780" w:rsidR="00541CA5" w:rsidRDefault="00E97A1C" w:rsidP="00BE4488">
      <w:pPr>
        <w:spacing w:before="120"/>
        <w:jc w:val="left"/>
        <w:rPr>
          <w:rFonts w:cs="CMR10"/>
          <w:lang w:val="en-GB"/>
        </w:rPr>
      </w:pPr>
      <w:r w:rsidRPr="00756BAD">
        <w:rPr>
          <w:rFonts w:cs="CMR10"/>
          <w:lang w:val="en-GB"/>
        </w:rPr>
        <w:t>[</w:t>
      </w:r>
      <w:r w:rsidR="00541CA5">
        <w:rPr>
          <w:rFonts w:cs="CMR10"/>
          <w:lang w:val="en-GB"/>
        </w:rPr>
        <w:t>34</w:t>
      </w:r>
      <w:r w:rsidRPr="00756BAD">
        <w:rPr>
          <w:rFonts w:cs="CMR10"/>
          <w:lang w:val="en-GB"/>
        </w:rPr>
        <w:t>]</w:t>
      </w:r>
      <w:r w:rsidR="000D6D15" w:rsidRPr="00756BAD">
        <w:rPr>
          <w:rFonts w:cs="CMR10"/>
          <w:lang w:val="en-GB"/>
        </w:rPr>
        <w:t> : Energy</w:t>
      </w:r>
      <w:r w:rsidR="00576D26" w:rsidRPr="00756BAD">
        <w:rPr>
          <w:rFonts w:cs="CMR10"/>
          <w:lang w:val="en-GB"/>
        </w:rPr>
        <w:t xml:space="preserve"> </w:t>
      </w:r>
      <w:r w:rsidR="000D6D15" w:rsidRPr="00756BAD">
        <w:rPr>
          <w:rFonts w:cs="CMR10"/>
          <w:lang w:val="en-GB"/>
        </w:rPr>
        <w:t xml:space="preserve">efficiency end economy-wide rebound effects : A review of the evidence and its implications, P.E. </w:t>
      </w:r>
      <w:proofErr w:type="spellStart"/>
      <w:r w:rsidR="000D6D15" w:rsidRPr="00756BAD">
        <w:rPr>
          <w:rFonts w:cs="CMR10"/>
          <w:lang w:val="en-GB"/>
        </w:rPr>
        <w:t>Brodway</w:t>
      </w:r>
      <w:proofErr w:type="spellEnd"/>
      <w:r w:rsidR="000D6D15" w:rsidRPr="00756BAD">
        <w:rPr>
          <w:rFonts w:cs="CMR10"/>
          <w:lang w:val="en-GB"/>
        </w:rPr>
        <w:t xml:space="preserve">, S. Sorrel, G. </w:t>
      </w:r>
      <w:proofErr w:type="spellStart"/>
      <w:r w:rsidR="000D6D15" w:rsidRPr="00756BAD">
        <w:rPr>
          <w:rFonts w:cs="CMR10"/>
          <w:lang w:val="en-GB"/>
        </w:rPr>
        <w:t>Semieniuk</w:t>
      </w:r>
      <w:proofErr w:type="spellEnd"/>
      <w:r w:rsidR="000D6D15" w:rsidRPr="00756BAD">
        <w:rPr>
          <w:rFonts w:cs="CMR10"/>
          <w:lang w:val="en-GB"/>
        </w:rPr>
        <w:t xml:space="preserve">, M. K. </w:t>
      </w:r>
      <w:proofErr w:type="spellStart"/>
      <w:r w:rsidR="000D6D15" w:rsidRPr="00756BAD">
        <w:rPr>
          <w:rFonts w:cs="CMR10"/>
          <w:lang w:val="en-GB"/>
        </w:rPr>
        <w:t>Heun</w:t>
      </w:r>
      <w:proofErr w:type="spellEnd"/>
      <w:r w:rsidR="000D6D15" w:rsidRPr="00756BAD">
        <w:rPr>
          <w:rFonts w:cs="CMR10"/>
          <w:lang w:val="en-GB"/>
        </w:rPr>
        <w:t xml:space="preserve">, V. Court, </w:t>
      </w:r>
      <w:proofErr w:type="spellStart"/>
      <w:r w:rsidR="000D6D15" w:rsidRPr="00756BAD">
        <w:rPr>
          <w:rFonts w:cs="CMR10"/>
          <w:lang w:val="en-GB"/>
        </w:rPr>
        <w:t>ScienceDirect</w:t>
      </w:r>
      <w:proofErr w:type="spellEnd"/>
      <w:r w:rsidR="000D6D15" w:rsidRPr="00756BAD">
        <w:rPr>
          <w:rFonts w:cs="CMR10"/>
          <w:lang w:val="en-GB"/>
        </w:rPr>
        <w:t>, may 2021,</w:t>
      </w:r>
      <w:r w:rsidR="00335301">
        <w:rPr>
          <w:rFonts w:cs="CMR10"/>
          <w:lang w:val="en-GB"/>
        </w:rPr>
        <w:t xml:space="preserve"> </w:t>
      </w:r>
      <w:hyperlink r:id="rId64" w:history="1">
        <w:r w:rsidR="00335301" w:rsidRPr="00C4677D">
          <w:rPr>
            <w:rStyle w:val="Lienhypertexte"/>
            <w:rFonts w:cs="CMR10"/>
            <w:lang w:val="en-GB"/>
          </w:rPr>
          <w:t>https://www.sciencedirect.com/science/article/pii/S1364032121000769?via%3Dihub</w:t>
        </w:r>
      </w:hyperlink>
    </w:p>
    <w:p w14:paraId="49369160" w14:textId="6CEAA5FF" w:rsidR="00576D26" w:rsidRPr="00756BAD" w:rsidRDefault="00541CA5" w:rsidP="00BE4488">
      <w:pPr>
        <w:spacing w:before="120"/>
        <w:jc w:val="left"/>
        <w:rPr>
          <w:rFonts w:cs="CMR10"/>
        </w:rPr>
      </w:pPr>
      <w:r>
        <w:t>[35]: DGEC (Direction Générale de l’Énergie et du Climat), « Synthèse du scénario de référence de la stratégie française pour l’énergie et le climat », 2020.</w:t>
      </w:r>
    </w:p>
    <w:p w14:paraId="56A28B99" w14:textId="56D54506" w:rsidR="00A1727E" w:rsidRPr="00AA17E1" w:rsidRDefault="007E35B3" w:rsidP="00BE4488">
      <w:pPr>
        <w:spacing w:before="120"/>
        <w:jc w:val="left"/>
        <w:rPr>
          <w:rFonts w:cs="CMR10"/>
        </w:rPr>
      </w:pPr>
      <w:r w:rsidRPr="00AA17E1">
        <w:rPr>
          <w:rFonts w:cs="CMR10"/>
        </w:rPr>
        <w:t>[</w:t>
      </w:r>
      <w:r w:rsidR="008553AE">
        <w:rPr>
          <w:rFonts w:cs="CMR10"/>
        </w:rPr>
        <w:t>3</w:t>
      </w:r>
      <w:r w:rsidR="00541CA5">
        <w:rPr>
          <w:rFonts w:cs="CMR10"/>
        </w:rPr>
        <w:t>6</w:t>
      </w:r>
      <w:r w:rsidRPr="00AA17E1">
        <w:rPr>
          <w:rFonts w:cs="CMR10"/>
        </w:rPr>
        <w:t xml:space="preserve">]: </w:t>
      </w:r>
      <w:r w:rsidR="00DF17FA" w:rsidRPr="00AA17E1">
        <w:rPr>
          <w:rFonts w:cs="CMR10"/>
        </w:rPr>
        <w:t xml:space="preserve">Nos consommations d’électricité domestique </w:t>
      </w:r>
      <w:proofErr w:type="spellStart"/>
      <w:r w:rsidR="00DF17FA" w:rsidRPr="00AA17E1">
        <w:rPr>
          <w:rFonts w:cs="CMR10"/>
        </w:rPr>
        <w:t>vont-elles</w:t>
      </w:r>
      <w:proofErr w:type="spellEnd"/>
      <w:r w:rsidR="00DF17FA" w:rsidRPr="00AA17E1">
        <w:rPr>
          <w:rFonts w:cs="CMR10"/>
        </w:rPr>
        <w:t xml:space="preserve"> croître inexorablement ?, Décrypter </w:t>
      </w:r>
      <w:r w:rsidR="00335301">
        <w:rPr>
          <w:rFonts w:cs="CMR10"/>
        </w:rPr>
        <w:t xml:space="preserve">l’énergie, consulté le </w:t>
      </w:r>
      <w:r w:rsidR="00DF17FA" w:rsidRPr="00AA17E1">
        <w:rPr>
          <w:rFonts w:cs="CMR10"/>
        </w:rPr>
        <w:t>6</w:t>
      </w:r>
      <w:r w:rsidR="00541CA5">
        <w:rPr>
          <w:rFonts w:cs="CMR10"/>
        </w:rPr>
        <w:t xml:space="preserve"> octobre </w:t>
      </w:r>
      <w:r w:rsidR="00DF17FA" w:rsidRPr="00AA17E1">
        <w:rPr>
          <w:rFonts w:cs="CMR10"/>
        </w:rPr>
        <w:t xml:space="preserve">2020, </w:t>
      </w:r>
      <w:hyperlink r:id="rId65" w:history="1">
        <w:r w:rsidR="00DF17FA" w:rsidRPr="00AA17E1">
          <w:rPr>
            <w:rStyle w:val="Lienhypertexte"/>
            <w:rFonts w:cs="CMR10"/>
          </w:rPr>
          <w:t>https://decrypterlenergie.org/nos-consommations-delectricite-domestique-vont-elles-croitre-inexorablement</w:t>
        </w:r>
      </w:hyperlink>
    </w:p>
    <w:p w14:paraId="34D25F9A" w14:textId="702EC7FD" w:rsidR="00AA17E1" w:rsidRPr="00CE519D" w:rsidRDefault="00AA17E1" w:rsidP="00BE4488">
      <w:pPr>
        <w:spacing w:before="120"/>
        <w:jc w:val="left"/>
        <w:rPr>
          <w:rFonts w:cs="CMR10"/>
        </w:rPr>
      </w:pPr>
      <w:r w:rsidRPr="00AA17E1">
        <w:rPr>
          <w:rFonts w:cs="CMR10"/>
        </w:rPr>
        <w:t>[</w:t>
      </w:r>
      <w:r w:rsidR="008553AE">
        <w:rPr>
          <w:rFonts w:cs="CMR10"/>
        </w:rPr>
        <w:t>3</w:t>
      </w:r>
      <w:r w:rsidR="00541CA5">
        <w:rPr>
          <w:rFonts w:cs="CMR10"/>
        </w:rPr>
        <w:t>7</w:t>
      </w:r>
      <w:r w:rsidRPr="00AA17E1">
        <w:rPr>
          <w:rFonts w:cs="CMR10"/>
        </w:rPr>
        <w:t xml:space="preserve">]: </w:t>
      </w:r>
      <w:r w:rsidRPr="00AA17E1">
        <w:t xml:space="preserve">La sobriété énergétique, </w:t>
      </w:r>
      <w:proofErr w:type="spellStart"/>
      <w:r w:rsidR="003D2C48" w:rsidRPr="00AA17E1">
        <w:t>néga</w:t>
      </w:r>
      <w:r w:rsidR="003D2C48">
        <w:t>W</w:t>
      </w:r>
      <w:r w:rsidR="003D2C48" w:rsidRPr="00AA17E1">
        <w:t>att</w:t>
      </w:r>
      <w:proofErr w:type="spellEnd"/>
      <w:r w:rsidRPr="00AA17E1">
        <w:t xml:space="preserve">, </w:t>
      </w:r>
      <w:hyperlink r:id="rId66" w:history="1">
        <w:r w:rsidRPr="00AA17E1">
          <w:rPr>
            <w:rStyle w:val="Lienhypertexte"/>
            <w:rFonts w:cs="CMBX12"/>
          </w:rPr>
          <w:t>https://negawatt.org/IMG/pdf/sobriete-scenario-negawatt_brochure-12pages_web.pdf</w:t>
        </w:r>
      </w:hyperlink>
    </w:p>
    <w:p w14:paraId="05AA5A76" w14:textId="77777777" w:rsidR="00DF17FA" w:rsidRPr="00CE519D" w:rsidRDefault="00DF17FA" w:rsidP="00CE519D">
      <w:pPr>
        <w:autoSpaceDE w:val="0"/>
        <w:autoSpaceDN w:val="0"/>
        <w:adjustRightInd w:val="0"/>
        <w:spacing w:after="60" w:line="240" w:lineRule="auto"/>
        <w:jc w:val="left"/>
        <w:rPr>
          <w:rFonts w:cs="CMR10"/>
        </w:rPr>
      </w:pPr>
    </w:p>
    <w:p w14:paraId="735D073A" w14:textId="77777777" w:rsidR="0022605D" w:rsidRDefault="0022605D" w:rsidP="00CE519D">
      <w:pPr>
        <w:pStyle w:val="Sansinterligne"/>
        <w:jc w:val="both"/>
      </w:pPr>
    </w:p>
    <w:p w14:paraId="52EB3C46" w14:textId="77777777" w:rsidR="00BE4488" w:rsidRDefault="00BE4488" w:rsidP="00CE519D">
      <w:pPr>
        <w:pStyle w:val="Sansinterligne"/>
        <w:jc w:val="both"/>
      </w:pPr>
    </w:p>
    <w:p w14:paraId="25741B2E" w14:textId="77777777" w:rsidR="00BE4488" w:rsidRDefault="00BE4488" w:rsidP="00CE519D">
      <w:pPr>
        <w:pStyle w:val="Sansinterligne"/>
        <w:jc w:val="both"/>
      </w:pPr>
    </w:p>
    <w:p w14:paraId="72436DB4" w14:textId="77777777" w:rsidR="00BE4488" w:rsidRDefault="00BE4488" w:rsidP="00CE519D">
      <w:pPr>
        <w:pStyle w:val="Sansinterligne"/>
        <w:jc w:val="both"/>
      </w:pPr>
    </w:p>
    <w:p w14:paraId="1FD482DC" w14:textId="77777777" w:rsidR="00BE4488" w:rsidRDefault="00BE4488" w:rsidP="00CE519D">
      <w:pPr>
        <w:pStyle w:val="Sansinterligne"/>
        <w:jc w:val="both"/>
      </w:pPr>
    </w:p>
    <w:p w14:paraId="36ACFE20" w14:textId="77777777" w:rsidR="0022605D" w:rsidRDefault="0022605D" w:rsidP="00CE519D">
      <w:pPr>
        <w:pStyle w:val="Sansinterligne"/>
        <w:jc w:val="both"/>
      </w:pPr>
    </w:p>
    <w:p w14:paraId="552B40D3" w14:textId="451AAB1E" w:rsidR="00AE6693" w:rsidRDefault="00CE519D" w:rsidP="001422FF">
      <w:pPr>
        <w:spacing w:before="60" w:after="60"/>
      </w:pPr>
      <w:r w:rsidRPr="00FE6003">
        <w:t xml:space="preserve"> </w:t>
      </w:r>
    </w:p>
    <w:p w14:paraId="7762D4E3" w14:textId="77777777" w:rsidR="00AE6693" w:rsidRDefault="00AE6693" w:rsidP="001422FF">
      <w:pPr>
        <w:spacing w:before="60" w:after="60"/>
      </w:pPr>
    </w:p>
    <w:p w14:paraId="258DFA6F" w14:textId="77777777" w:rsidR="00AE6693" w:rsidRDefault="00AE6693" w:rsidP="001422FF">
      <w:pPr>
        <w:spacing w:before="60" w:after="60"/>
      </w:pPr>
    </w:p>
    <w:p w14:paraId="52CD3270" w14:textId="77777777" w:rsidR="00AE6693" w:rsidRDefault="00AE6693" w:rsidP="001422FF">
      <w:pPr>
        <w:spacing w:before="60" w:after="60"/>
      </w:pPr>
    </w:p>
    <w:p w14:paraId="34CF77E1" w14:textId="77777777" w:rsidR="007254BF" w:rsidRDefault="00494FFE" w:rsidP="00494FFE">
      <w:pPr>
        <w:autoSpaceDE w:val="0"/>
        <w:autoSpaceDN w:val="0"/>
        <w:adjustRightInd w:val="0"/>
        <w:spacing w:before="120" w:after="0" w:line="240" w:lineRule="auto"/>
        <w:jc w:val="left"/>
        <w:rPr>
          <w:rFonts w:cs="CMR10"/>
        </w:rPr>
      </w:pPr>
      <w:r w:rsidRPr="00381396">
        <w:rPr>
          <w:rFonts w:cs="CMR10"/>
          <w:sz w:val="20"/>
          <w:szCs w:val="20"/>
        </w:rPr>
        <w:t xml:space="preserve">Ressource publiée sur Culture Sciences de </w:t>
      </w:r>
      <w:r>
        <w:rPr>
          <w:rFonts w:cs="CMR10"/>
          <w:sz w:val="20"/>
          <w:szCs w:val="20"/>
        </w:rPr>
        <w:t>l’</w:t>
      </w:r>
      <w:r w:rsidR="00283A23">
        <w:rPr>
          <w:rFonts w:cs="CMR10"/>
          <w:sz w:val="20"/>
          <w:szCs w:val="20"/>
        </w:rPr>
        <w:t>I</w:t>
      </w:r>
      <w:r>
        <w:rPr>
          <w:rFonts w:cs="CMR10"/>
          <w:sz w:val="20"/>
          <w:szCs w:val="20"/>
        </w:rPr>
        <w:t>ngénieur</w:t>
      </w:r>
      <w:r w:rsidRPr="00381396">
        <w:rPr>
          <w:rFonts w:cs="CMR10"/>
          <w:sz w:val="20"/>
          <w:szCs w:val="20"/>
        </w:rPr>
        <w:t xml:space="preserve"> : </w:t>
      </w:r>
      <w:hyperlink r:id="rId67" w:history="1">
        <w:r w:rsidR="001A373B" w:rsidRPr="00E15F74">
          <w:rPr>
            <w:rStyle w:val="Lienhypertexte"/>
            <w:rFonts w:cs="CMR10"/>
            <w:sz w:val="20"/>
            <w:szCs w:val="20"/>
          </w:rPr>
          <w:t>https://eduscol.education.fr/sti/si-ens-paris-saclay</w:t>
        </w:r>
      </w:hyperlink>
    </w:p>
    <w:sectPr w:rsidR="007254BF" w:rsidSect="006F7059">
      <w:type w:val="continuous"/>
      <w:pgSz w:w="11906" w:h="16838"/>
      <w:pgMar w:top="737" w:right="1077" w:bottom="737" w:left="1077" w:header="709" w:footer="709" w:gutter="0"/>
      <w:pgBorders w:offsetFrom="page">
        <w:top w:val="single" w:sz="8" w:space="24" w:color="3891A7" w:themeColor="accent1"/>
        <w:left w:val="single" w:sz="8" w:space="24" w:color="3891A7" w:themeColor="accent1"/>
        <w:bottom w:val="single" w:sz="8" w:space="24" w:color="3891A7" w:themeColor="accent1"/>
        <w:right w:val="single" w:sz="8" w:space="24" w:color="3891A7"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646D9" w14:textId="77777777" w:rsidR="00B14F32" w:rsidRDefault="00B14F32" w:rsidP="00BE51E0">
      <w:pPr>
        <w:spacing w:after="0" w:line="240" w:lineRule="auto"/>
      </w:pPr>
      <w:r>
        <w:separator/>
      </w:r>
    </w:p>
  </w:endnote>
  <w:endnote w:type="continuationSeparator" w:id="0">
    <w:p w14:paraId="63C4912F" w14:textId="77777777" w:rsidR="00B14F32" w:rsidRDefault="00B14F32" w:rsidP="00BE5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ntony-Bold">
    <w:panose1 w:val="00000000000000000000"/>
    <w:charset w:val="00"/>
    <w:family w:val="swiss"/>
    <w:notTrueType/>
    <w:pitch w:val="default"/>
    <w:sig w:usb0="00000003" w:usb1="00000000" w:usb2="00000000" w:usb3="00000000" w:csb0="00000001" w:csb1="00000000"/>
  </w:font>
  <w:font w:name="CMR10">
    <w:panose1 w:val="00000000000000000000"/>
    <w:charset w:val="00"/>
    <w:family w:val="auto"/>
    <w:notTrueType/>
    <w:pitch w:val="default"/>
    <w:sig w:usb0="00000003" w:usb1="00000000" w:usb2="00000000" w:usb3="00000000" w:csb0="00000001" w:csb1="00000000"/>
  </w:font>
  <w:font w:name="CMBX12">
    <w:altName w:val="Calibri"/>
    <w:panose1 w:val="00000000000000000000"/>
    <w:charset w:val="00"/>
    <w:family w:val="auto"/>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440D5" w14:textId="77777777" w:rsidR="00070D08" w:rsidRPr="00715E0C" w:rsidRDefault="00070D08" w:rsidP="00715E0C">
    <w:pPr>
      <w:pStyle w:val="Pieddepage"/>
      <w:jc w:val="center"/>
      <w:rPr>
        <w:color w:val="2A6C7D" w:themeColor="accent1" w:themeShade="BF"/>
      </w:rPr>
    </w:pPr>
    <w:r w:rsidRPr="00715E0C">
      <w:rPr>
        <w:color w:val="2A6C7D" w:themeColor="accent1" w:themeShade="BF"/>
      </w:rPr>
      <w:fldChar w:fldCharType="begin"/>
    </w:r>
    <w:r w:rsidRPr="00715E0C">
      <w:rPr>
        <w:color w:val="2A6C7D" w:themeColor="accent1" w:themeShade="BF"/>
      </w:rPr>
      <w:instrText xml:space="preserve"> PAGE   \* MERGEFORMAT </w:instrText>
    </w:r>
    <w:r w:rsidRPr="00715E0C">
      <w:rPr>
        <w:color w:val="2A6C7D" w:themeColor="accent1" w:themeShade="BF"/>
      </w:rPr>
      <w:fldChar w:fldCharType="separate"/>
    </w:r>
    <w:r w:rsidR="00C64908">
      <w:rPr>
        <w:noProof/>
        <w:color w:val="2A6C7D" w:themeColor="accent1" w:themeShade="BF"/>
      </w:rPr>
      <w:t>19</w:t>
    </w:r>
    <w:r w:rsidRPr="00715E0C">
      <w:rPr>
        <w:color w:val="2A6C7D" w:themeColor="accent1" w:themeShade="BF"/>
      </w:rPr>
      <w:fldChar w:fldCharType="end"/>
    </w:r>
    <w:r w:rsidRPr="00715E0C">
      <w:rPr>
        <w:color w:val="2A6C7D" w:themeColor="accent1" w:themeShade="B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4ED324" w14:textId="77777777" w:rsidR="00B14F32" w:rsidRDefault="00B14F32" w:rsidP="00BE51E0">
      <w:pPr>
        <w:spacing w:after="0" w:line="240" w:lineRule="auto"/>
      </w:pPr>
      <w:r>
        <w:separator/>
      </w:r>
    </w:p>
  </w:footnote>
  <w:footnote w:type="continuationSeparator" w:id="0">
    <w:p w14:paraId="75C3021D" w14:textId="77777777" w:rsidR="00B14F32" w:rsidRDefault="00B14F32" w:rsidP="00BE51E0">
      <w:pPr>
        <w:spacing w:after="0" w:line="240" w:lineRule="auto"/>
      </w:pPr>
      <w:r>
        <w:continuationSeparator/>
      </w:r>
    </w:p>
  </w:footnote>
  <w:footnote w:id="1">
    <w:p w14:paraId="2D2F60E5" w14:textId="77777777" w:rsidR="00070D08" w:rsidRDefault="00070D08">
      <w:pPr>
        <w:pStyle w:val="Notedebasdepage"/>
      </w:pPr>
      <w:r>
        <w:rPr>
          <w:rStyle w:val="Appelnotedebasdep"/>
        </w:rPr>
        <w:footnoteRef/>
      </w:r>
      <w:r>
        <w:t xml:space="preserve"> Calculer son jour personnel de dépassement : </w:t>
      </w:r>
      <w:hyperlink r:id="rId1" w:history="1">
        <w:r w:rsidRPr="00301AF4">
          <w:rPr>
            <w:rStyle w:val="Lienhypertexte"/>
          </w:rPr>
          <w:t>https://www.footprintcalculator.org/</w:t>
        </w:r>
      </w:hyperlink>
    </w:p>
  </w:footnote>
  <w:footnote w:id="2">
    <w:p w14:paraId="0DA4EFD6" w14:textId="77777777" w:rsidR="00070D08" w:rsidRDefault="00070D08" w:rsidP="00BE4488">
      <w:pPr>
        <w:pStyle w:val="Commentaire"/>
        <w:spacing w:before="0" w:after="0"/>
        <w:jc w:val="left"/>
      </w:pPr>
      <w:r>
        <w:rPr>
          <w:rStyle w:val="Appelnotedebasdep"/>
        </w:rPr>
        <w:footnoteRef/>
      </w:r>
      <w:r>
        <w:t xml:space="preserve"> Les notes au-delà de A (A+ à A+++) disparaissent au 1</w:t>
      </w:r>
      <w:r w:rsidRPr="00E74BF2">
        <w:rPr>
          <w:vertAlign w:val="superscript"/>
        </w:rPr>
        <w:t>er</w:t>
      </w:r>
      <w:r>
        <w:t xml:space="preserve"> mars 2021 suite à une décision de la commission européenne : </w:t>
      </w:r>
      <w:hyperlink r:id="rId2" w:history="1">
        <w:r w:rsidRPr="00E56F51">
          <w:rPr>
            <w:rStyle w:val="Lienhypertexte"/>
          </w:rPr>
          <w:t>https://www.ecoco2.com/blog/etiquettes-energie-des-changements-au-1er-mars-2021/</w:t>
        </w:r>
      </w:hyperlink>
      <w:r>
        <w:rPr>
          <w:rStyle w:val="Lienhypertexte"/>
        </w:rPr>
        <w:br/>
      </w:r>
      <w:r>
        <w:t>(un produit A+++ passera en A ou B selon sa position sur l’échelle A+++)</w:t>
      </w:r>
    </w:p>
  </w:footnote>
  <w:footnote w:id="3">
    <w:p w14:paraId="0B91A988" w14:textId="77777777" w:rsidR="00070D08" w:rsidRDefault="00070D08">
      <w:pPr>
        <w:pStyle w:val="Notedebasdepage"/>
      </w:pPr>
      <w:r>
        <w:rPr>
          <w:rStyle w:val="Appelnotedebasdep"/>
        </w:rPr>
        <w:footnoteRef/>
      </w:r>
      <w:r>
        <w:t xml:space="preserve"> Entreprise sans but lucratif qui organise la collecte, le réemploi, la réparation, la dépollution et le recyclage des DEEE, des lampes et petits extincteurs des professionnels et des particuliers.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5502A"/>
    <w:multiLevelType w:val="multilevel"/>
    <w:tmpl w:val="5D143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F4421C"/>
    <w:multiLevelType w:val="multilevel"/>
    <w:tmpl w:val="C4EC4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D09B2"/>
    <w:multiLevelType w:val="multilevel"/>
    <w:tmpl w:val="597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253B43"/>
    <w:multiLevelType w:val="hybridMultilevel"/>
    <w:tmpl w:val="BAD87C74"/>
    <w:lvl w:ilvl="0" w:tplc="1EFE601E">
      <w:start w:val="1"/>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0D43EB"/>
    <w:multiLevelType w:val="multilevel"/>
    <w:tmpl w:val="AF4C824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82B40EE"/>
    <w:multiLevelType w:val="hybridMultilevel"/>
    <w:tmpl w:val="CCB28018"/>
    <w:lvl w:ilvl="0" w:tplc="7D22F6FC">
      <w:start w:val="4"/>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E64FE4"/>
    <w:multiLevelType w:val="hybridMultilevel"/>
    <w:tmpl w:val="2BD4E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CCF04CA"/>
    <w:multiLevelType w:val="hybridMultilevel"/>
    <w:tmpl w:val="F33E1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0F670A0"/>
    <w:multiLevelType w:val="hybridMultilevel"/>
    <w:tmpl w:val="386AC5EE"/>
    <w:lvl w:ilvl="0" w:tplc="8B1E7E6A">
      <w:start w:val="5"/>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54C080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6307573C"/>
    <w:multiLevelType w:val="multilevel"/>
    <w:tmpl w:val="A5C61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50E28C3"/>
    <w:multiLevelType w:val="hybridMultilevel"/>
    <w:tmpl w:val="D06A25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FD65A7"/>
    <w:multiLevelType w:val="hybridMultilevel"/>
    <w:tmpl w:val="24900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2D234A"/>
    <w:multiLevelType w:val="hybridMultilevel"/>
    <w:tmpl w:val="F294A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9E944B8"/>
    <w:multiLevelType w:val="hybridMultilevel"/>
    <w:tmpl w:val="F4EA69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ACF3518"/>
    <w:multiLevelType w:val="hybridMultilevel"/>
    <w:tmpl w:val="72F6DC88"/>
    <w:lvl w:ilvl="0" w:tplc="99B8A320">
      <w:start w:val="3"/>
      <w:numFmt w:val="bullet"/>
      <w:lvlText w:val="-"/>
      <w:lvlJc w:val="left"/>
      <w:pPr>
        <w:ind w:left="720" w:hanging="360"/>
      </w:pPr>
      <w:rPr>
        <w:rFonts w:ascii="Trebuchet MS" w:eastAsiaTheme="minorHAnsi" w:hAnsi="Trebuchet M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9"/>
  </w:num>
  <w:num w:numId="4">
    <w:abstractNumId w:val="1"/>
  </w:num>
  <w:num w:numId="5">
    <w:abstractNumId w:val="4"/>
  </w:num>
  <w:num w:numId="6">
    <w:abstractNumId w:val="0"/>
  </w:num>
  <w:num w:numId="7">
    <w:abstractNumId w:val="14"/>
  </w:num>
  <w:num w:numId="8">
    <w:abstractNumId w:val="6"/>
  </w:num>
  <w:num w:numId="9">
    <w:abstractNumId w:val="7"/>
  </w:num>
  <w:num w:numId="10">
    <w:abstractNumId w:val="12"/>
  </w:num>
  <w:num w:numId="11">
    <w:abstractNumId w:val="13"/>
  </w:num>
  <w:num w:numId="12">
    <w:abstractNumId w:val="15"/>
  </w:num>
  <w:num w:numId="13">
    <w:abstractNumId w:val="5"/>
  </w:num>
  <w:num w:numId="14">
    <w:abstractNumId w:val="8"/>
  </w:num>
  <w:num w:numId="15">
    <w:abstractNumId w:val="1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881"/>
    <w:rsid w:val="00000576"/>
    <w:rsid w:val="00000FB2"/>
    <w:rsid w:val="00005B42"/>
    <w:rsid w:val="000111AE"/>
    <w:rsid w:val="00014736"/>
    <w:rsid w:val="0002605E"/>
    <w:rsid w:val="0003795B"/>
    <w:rsid w:val="00037CA6"/>
    <w:rsid w:val="0004186F"/>
    <w:rsid w:val="00045B03"/>
    <w:rsid w:val="0004755A"/>
    <w:rsid w:val="00053212"/>
    <w:rsid w:val="00062F0F"/>
    <w:rsid w:val="00063C93"/>
    <w:rsid w:val="00065204"/>
    <w:rsid w:val="00065B00"/>
    <w:rsid w:val="00065B90"/>
    <w:rsid w:val="0006610B"/>
    <w:rsid w:val="00070812"/>
    <w:rsid w:val="000709B6"/>
    <w:rsid w:val="00070B4D"/>
    <w:rsid w:val="00070D08"/>
    <w:rsid w:val="00073A2A"/>
    <w:rsid w:val="00077E87"/>
    <w:rsid w:val="00082A49"/>
    <w:rsid w:val="000909D4"/>
    <w:rsid w:val="00092872"/>
    <w:rsid w:val="000940F5"/>
    <w:rsid w:val="000966A0"/>
    <w:rsid w:val="000A0281"/>
    <w:rsid w:val="000A136F"/>
    <w:rsid w:val="000A379C"/>
    <w:rsid w:val="000A79CB"/>
    <w:rsid w:val="000B316A"/>
    <w:rsid w:val="000C099F"/>
    <w:rsid w:val="000D2964"/>
    <w:rsid w:val="000D2D8A"/>
    <w:rsid w:val="000D3691"/>
    <w:rsid w:val="000D455E"/>
    <w:rsid w:val="000D6621"/>
    <w:rsid w:val="000D6D15"/>
    <w:rsid w:val="000E425D"/>
    <w:rsid w:val="000E4603"/>
    <w:rsid w:val="000E4AD9"/>
    <w:rsid w:val="000E5BB9"/>
    <w:rsid w:val="000F4EC2"/>
    <w:rsid w:val="00101261"/>
    <w:rsid w:val="0010368E"/>
    <w:rsid w:val="00107815"/>
    <w:rsid w:val="00110450"/>
    <w:rsid w:val="0012094E"/>
    <w:rsid w:val="00121711"/>
    <w:rsid w:val="0012732C"/>
    <w:rsid w:val="00135482"/>
    <w:rsid w:val="00135FAA"/>
    <w:rsid w:val="00137FC4"/>
    <w:rsid w:val="001401BD"/>
    <w:rsid w:val="001414B8"/>
    <w:rsid w:val="001422FF"/>
    <w:rsid w:val="00142A03"/>
    <w:rsid w:val="00143FB9"/>
    <w:rsid w:val="0014565D"/>
    <w:rsid w:val="00146392"/>
    <w:rsid w:val="00150CA8"/>
    <w:rsid w:val="00150E6D"/>
    <w:rsid w:val="00162D5D"/>
    <w:rsid w:val="0016445D"/>
    <w:rsid w:val="0016690C"/>
    <w:rsid w:val="00167CDA"/>
    <w:rsid w:val="00171D1D"/>
    <w:rsid w:val="0018244F"/>
    <w:rsid w:val="00184718"/>
    <w:rsid w:val="0018613B"/>
    <w:rsid w:val="0018774A"/>
    <w:rsid w:val="00194882"/>
    <w:rsid w:val="0019679D"/>
    <w:rsid w:val="001A373B"/>
    <w:rsid w:val="001A40CE"/>
    <w:rsid w:val="001C49A6"/>
    <w:rsid w:val="001C5B77"/>
    <w:rsid w:val="001C6287"/>
    <w:rsid w:val="001D33B6"/>
    <w:rsid w:val="001D3748"/>
    <w:rsid w:val="001E20FD"/>
    <w:rsid w:val="001E5516"/>
    <w:rsid w:val="001F05E1"/>
    <w:rsid w:val="001F2FDA"/>
    <w:rsid w:val="00207762"/>
    <w:rsid w:val="0020782E"/>
    <w:rsid w:val="002102AF"/>
    <w:rsid w:val="00212536"/>
    <w:rsid w:val="00212D5A"/>
    <w:rsid w:val="0021320F"/>
    <w:rsid w:val="00216667"/>
    <w:rsid w:val="00217685"/>
    <w:rsid w:val="00221C51"/>
    <w:rsid w:val="0022605D"/>
    <w:rsid w:val="002264F1"/>
    <w:rsid w:val="00226E69"/>
    <w:rsid w:val="00234B9F"/>
    <w:rsid w:val="00236BC0"/>
    <w:rsid w:val="00236FED"/>
    <w:rsid w:val="0023712E"/>
    <w:rsid w:val="00237DA5"/>
    <w:rsid w:val="00240F05"/>
    <w:rsid w:val="0024350D"/>
    <w:rsid w:val="00245EA4"/>
    <w:rsid w:val="00251823"/>
    <w:rsid w:val="00260379"/>
    <w:rsid w:val="002612AF"/>
    <w:rsid w:val="002659C2"/>
    <w:rsid w:val="00267904"/>
    <w:rsid w:val="00270501"/>
    <w:rsid w:val="00272121"/>
    <w:rsid w:val="00275A08"/>
    <w:rsid w:val="0027661F"/>
    <w:rsid w:val="0027739D"/>
    <w:rsid w:val="00280059"/>
    <w:rsid w:val="00280EB6"/>
    <w:rsid w:val="00283A23"/>
    <w:rsid w:val="00285E37"/>
    <w:rsid w:val="002871E2"/>
    <w:rsid w:val="00290A6E"/>
    <w:rsid w:val="00293B04"/>
    <w:rsid w:val="00294F7D"/>
    <w:rsid w:val="002A12FE"/>
    <w:rsid w:val="002A32D9"/>
    <w:rsid w:val="002A5109"/>
    <w:rsid w:val="002A62FF"/>
    <w:rsid w:val="002B2679"/>
    <w:rsid w:val="002B4106"/>
    <w:rsid w:val="002B5B31"/>
    <w:rsid w:val="002B6EC5"/>
    <w:rsid w:val="002C2323"/>
    <w:rsid w:val="002C774C"/>
    <w:rsid w:val="002D3B39"/>
    <w:rsid w:val="002D4382"/>
    <w:rsid w:val="002D5595"/>
    <w:rsid w:val="002D6CFA"/>
    <w:rsid w:val="002D72A6"/>
    <w:rsid w:val="002E1843"/>
    <w:rsid w:val="002E397B"/>
    <w:rsid w:val="002E4388"/>
    <w:rsid w:val="002E55F2"/>
    <w:rsid w:val="002F1F3F"/>
    <w:rsid w:val="002F24B3"/>
    <w:rsid w:val="002F3331"/>
    <w:rsid w:val="00304639"/>
    <w:rsid w:val="003062B2"/>
    <w:rsid w:val="0030782C"/>
    <w:rsid w:val="00311516"/>
    <w:rsid w:val="00311ECF"/>
    <w:rsid w:val="00317ACA"/>
    <w:rsid w:val="00327B2A"/>
    <w:rsid w:val="0033227E"/>
    <w:rsid w:val="00332718"/>
    <w:rsid w:val="00335301"/>
    <w:rsid w:val="00335CA2"/>
    <w:rsid w:val="00355E04"/>
    <w:rsid w:val="003573B8"/>
    <w:rsid w:val="00361672"/>
    <w:rsid w:val="00374A67"/>
    <w:rsid w:val="00374B4B"/>
    <w:rsid w:val="00384084"/>
    <w:rsid w:val="00390467"/>
    <w:rsid w:val="003916E6"/>
    <w:rsid w:val="003A142D"/>
    <w:rsid w:val="003B4228"/>
    <w:rsid w:val="003B53C9"/>
    <w:rsid w:val="003B7F65"/>
    <w:rsid w:val="003C2701"/>
    <w:rsid w:val="003C710D"/>
    <w:rsid w:val="003D2C48"/>
    <w:rsid w:val="003E5095"/>
    <w:rsid w:val="003F296A"/>
    <w:rsid w:val="004031E1"/>
    <w:rsid w:val="00403835"/>
    <w:rsid w:val="00414555"/>
    <w:rsid w:val="0042094B"/>
    <w:rsid w:val="004218E2"/>
    <w:rsid w:val="00433235"/>
    <w:rsid w:val="00434052"/>
    <w:rsid w:val="004340AB"/>
    <w:rsid w:val="004341F2"/>
    <w:rsid w:val="0043488C"/>
    <w:rsid w:val="004354C9"/>
    <w:rsid w:val="00435DB2"/>
    <w:rsid w:val="00437777"/>
    <w:rsid w:val="00437E74"/>
    <w:rsid w:val="00446D2E"/>
    <w:rsid w:val="00452CA5"/>
    <w:rsid w:val="004543C2"/>
    <w:rsid w:val="00457B6D"/>
    <w:rsid w:val="00457CC1"/>
    <w:rsid w:val="004629B0"/>
    <w:rsid w:val="00471220"/>
    <w:rsid w:val="004723ED"/>
    <w:rsid w:val="004740C0"/>
    <w:rsid w:val="00476A62"/>
    <w:rsid w:val="004807DF"/>
    <w:rsid w:val="004810CA"/>
    <w:rsid w:val="004829B6"/>
    <w:rsid w:val="0048500E"/>
    <w:rsid w:val="00492FCC"/>
    <w:rsid w:val="00494FFE"/>
    <w:rsid w:val="0049574D"/>
    <w:rsid w:val="0049777B"/>
    <w:rsid w:val="00497AAA"/>
    <w:rsid w:val="004A4467"/>
    <w:rsid w:val="004A4B33"/>
    <w:rsid w:val="004A5175"/>
    <w:rsid w:val="004A57B9"/>
    <w:rsid w:val="004C179A"/>
    <w:rsid w:val="004D5961"/>
    <w:rsid w:val="004D7854"/>
    <w:rsid w:val="004E1FA3"/>
    <w:rsid w:val="00501F08"/>
    <w:rsid w:val="00504CE7"/>
    <w:rsid w:val="00511AD3"/>
    <w:rsid w:val="0051528E"/>
    <w:rsid w:val="00517A1B"/>
    <w:rsid w:val="00521B7A"/>
    <w:rsid w:val="00523A20"/>
    <w:rsid w:val="00524172"/>
    <w:rsid w:val="00527064"/>
    <w:rsid w:val="00527130"/>
    <w:rsid w:val="005276A5"/>
    <w:rsid w:val="0053286A"/>
    <w:rsid w:val="00533609"/>
    <w:rsid w:val="00533F29"/>
    <w:rsid w:val="00533FC3"/>
    <w:rsid w:val="005402C3"/>
    <w:rsid w:val="00540965"/>
    <w:rsid w:val="00541CA5"/>
    <w:rsid w:val="00545B17"/>
    <w:rsid w:val="00545B7C"/>
    <w:rsid w:val="00547456"/>
    <w:rsid w:val="00551EB7"/>
    <w:rsid w:val="00553870"/>
    <w:rsid w:val="00560518"/>
    <w:rsid w:val="00560EA9"/>
    <w:rsid w:val="00562082"/>
    <w:rsid w:val="00562176"/>
    <w:rsid w:val="00564765"/>
    <w:rsid w:val="00566059"/>
    <w:rsid w:val="005666E1"/>
    <w:rsid w:val="00570222"/>
    <w:rsid w:val="005704C8"/>
    <w:rsid w:val="0057190A"/>
    <w:rsid w:val="005727BE"/>
    <w:rsid w:val="005747A1"/>
    <w:rsid w:val="00576D26"/>
    <w:rsid w:val="005779CE"/>
    <w:rsid w:val="00580004"/>
    <w:rsid w:val="005800AE"/>
    <w:rsid w:val="0058081F"/>
    <w:rsid w:val="005821E9"/>
    <w:rsid w:val="00583534"/>
    <w:rsid w:val="005842C9"/>
    <w:rsid w:val="0059018F"/>
    <w:rsid w:val="00590E25"/>
    <w:rsid w:val="00591A97"/>
    <w:rsid w:val="005A1B2C"/>
    <w:rsid w:val="005A4C70"/>
    <w:rsid w:val="005A53E7"/>
    <w:rsid w:val="005B19BA"/>
    <w:rsid w:val="005B4489"/>
    <w:rsid w:val="005B7478"/>
    <w:rsid w:val="005B7DD2"/>
    <w:rsid w:val="005C1761"/>
    <w:rsid w:val="005D2E6C"/>
    <w:rsid w:val="005D6B9B"/>
    <w:rsid w:val="005D6F52"/>
    <w:rsid w:val="005E78C8"/>
    <w:rsid w:val="005E7BE3"/>
    <w:rsid w:val="005F16A5"/>
    <w:rsid w:val="005F3272"/>
    <w:rsid w:val="005F41B3"/>
    <w:rsid w:val="005F6E53"/>
    <w:rsid w:val="005F780F"/>
    <w:rsid w:val="006026E3"/>
    <w:rsid w:val="00607013"/>
    <w:rsid w:val="00607923"/>
    <w:rsid w:val="006142A7"/>
    <w:rsid w:val="006151D0"/>
    <w:rsid w:val="00616CF3"/>
    <w:rsid w:val="006227ED"/>
    <w:rsid w:val="00624203"/>
    <w:rsid w:val="00652E1D"/>
    <w:rsid w:val="00654A38"/>
    <w:rsid w:val="00656D56"/>
    <w:rsid w:val="006637DF"/>
    <w:rsid w:val="00663852"/>
    <w:rsid w:val="00664EF6"/>
    <w:rsid w:val="00665F52"/>
    <w:rsid w:val="0068258E"/>
    <w:rsid w:val="0068272E"/>
    <w:rsid w:val="00683A42"/>
    <w:rsid w:val="006879DE"/>
    <w:rsid w:val="00690CC6"/>
    <w:rsid w:val="00693DAB"/>
    <w:rsid w:val="006A22F6"/>
    <w:rsid w:val="006A73EA"/>
    <w:rsid w:val="006B0138"/>
    <w:rsid w:val="006B0A16"/>
    <w:rsid w:val="006B65FD"/>
    <w:rsid w:val="006C11A2"/>
    <w:rsid w:val="006C1A3C"/>
    <w:rsid w:val="006C22F0"/>
    <w:rsid w:val="006C2560"/>
    <w:rsid w:val="006D7EA8"/>
    <w:rsid w:val="006E1F18"/>
    <w:rsid w:val="006E365A"/>
    <w:rsid w:val="006E456F"/>
    <w:rsid w:val="006F062B"/>
    <w:rsid w:val="006F08E4"/>
    <w:rsid w:val="006F2935"/>
    <w:rsid w:val="006F646D"/>
    <w:rsid w:val="006F7059"/>
    <w:rsid w:val="00700856"/>
    <w:rsid w:val="00702E58"/>
    <w:rsid w:val="00704724"/>
    <w:rsid w:val="007119D7"/>
    <w:rsid w:val="007138C2"/>
    <w:rsid w:val="00715E0C"/>
    <w:rsid w:val="007211F4"/>
    <w:rsid w:val="00721B20"/>
    <w:rsid w:val="007254BF"/>
    <w:rsid w:val="00725E40"/>
    <w:rsid w:val="00730537"/>
    <w:rsid w:val="007307E4"/>
    <w:rsid w:val="007346D7"/>
    <w:rsid w:val="00736614"/>
    <w:rsid w:val="00736628"/>
    <w:rsid w:val="00742B8E"/>
    <w:rsid w:val="00745E82"/>
    <w:rsid w:val="00756BAD"/>
    <w:rsid w:val="0075719B"/>
    <w:rsid w:val="0076356F"/>
    <w:rsid w:val="0076450F"/>
    <w:rsid w:val="00764E7D"/>
    <w:rsid w:val="007702AD"/>
    <w:rsid w:val="0077047D"/>
    <w:rsid w:val="00771BE4"/>
    <w:rsid w:val="007738BE"/>
    <w:rsid w:val="0077393C"/>
    <w:rsid w:val="00773BDE"/>
    <w:rsid w:val="0077700A"/>
    <w:rsid w:val="00782F0A"/>
    <w:rsid w:val="00785696"/>
    <w:rsid w:val="00786981"/>
    <w:rsid w:val="00786E18"/>
    <w:rsid w:val="00793828"/>
    <w:rsid w:val="00795D25"/>
    <w:rsid w:val="007B093A"/>
    <w:rsid w:val="007B23A3"/>
    <w:rsid w:val="007B2F2A"/>
    <w:rsid w:val="007B54DB"/>
    <w:rsid w:val="007B5D2B"/>
    <w:rsid w:val="007B73FD"/>
    <w:rsid w:val="007D5001"/>
    <w:rsid w:val="007D7691"/>
    <w:rsid w:val="007E1F1D"/>
    <w:rsid w:val="007E35B3"/>
    <w:rsid w:val="007E3C7C"/>
    <w:rsid w:val="007E7860"/>
    <w:rsid w:val="007F4276"/>
    <w:rsid w:val="00806BBF"/>
    <w:rsid w:val="00807171"/>
    <w:rsid w:val="00807EC4"/>
    <w:rsid w:val="00812287"/>
    <w:rsid w:val="00812A7B"/>
    <w:rsid w:val="008140F8"/>
    <w:rsid w:val="008302F9"/>
    <w:rsid w:val="00831EEB"/>
    <w:rsid w:val="00835FCB"/>
    <w:rsid w:val="00841817"/>
    <w:rsid w:val="00847E63"/>
    <w:rsid w:val="008520D0"/>
    <w:rsid w:val="00853FF1"/>
    <w:rsid w:val="008553AE"/>
    <w:rsid w:val="00861C33"/>
    <w:rsid w:val="00863BD5"/>
    <w:rsid w:val="008650E4"/>
    <w:rsid w:val="00865F97"/>
    <w:rsid w:val="0087023C"/>
    <w:rsid w:val="00872BD5"/>
    <w:rsid w:val="008736AE"/>
    <w:rsid w:val="00875A60"/>
    <w:rsid w:val="00882103"/>
    <w:rsid w:val="00884137"/>
    <w:rsid w:val="00891A57"/>
    <w:rsid w:val="00896DB8"/>
    <w:rsid w:val="008A2CB4"/>
    <w:rsid w:val="008A729C"/>
    <w:rsid w:val="008B35E9"/>
    <w:rsid w:val="008B3D38"/>
    <w:rsid w:val="008B5E48"/>
    <w:rsid w:val="008B6411"/>
    <w:rsid w:val="008C1B74"/>
    <w:rsid w:val="008C1C77"/>
    <w:rsid w:val="008C2CAA"/>
    <w:rsid w:val="008C5FFC"/>
    <w:rsid w:val="008D1A62"/>
    <w:rsid w:val="008D56D5"/>
    <w:rsid w:val="008F3402"/>
    <w:rsid w:val="008F4030"/>
    <w:rsid w:val="0090175E"/>
    <w:rsid w:val="00904F27"/>
    <w:rsid w:val="00905B85"/>
    <w:rsid w:val="00921CDC"/>
    <w:rsid w:val="00922450"/>
    <w:rsid w:val="00927019"/>
    <w:rsid w:val="009322E8"/>
    <w:rsid w:val="009372F0"/>
    <w:rsid w:val="00951740"/>
    <w:rsid w:val="009538FB"/>
    <w:rsid w:val="009617D4"/>
    <w:rsid w:val="00965A31"/>
    <w:rsid w:val="00971066"/>
    <w:rsid w:val="0097210A"/>
    <w:rsid w:val="00972A2A"/>
    <w:rsid w:val="009754B1"/>
    <w:rsid w:val="00987DAB"/>
    <w:rsid w:val="00987E72"/>
    <w:rsid w:val="0099296E"/>
    <w:rsid w:val="00992FF9"/>
    <w:rsid w:val="009963D7"/>
    <w:rsid w:val="00996BA9"/>
    <w:rsid w:val="0099702A"/>
    <w:rsid w:val="00997881"/>
    <w:rsid w:val="009A019D"/>
    <w:rsid w:val="009A08D6"/>
    <w:rsid w:val="009A1910"/>
    <w:rsid w:val="009A2176"/>
    <w:rsid w:val="009A34B2"/>
    <w:rsid w:val="009A37A9"/>
    <w:rsid w:val="009C77C8"/>
    <w:rsid w:val="009D14E5"/>
    <w:rsid w:val="009D400E"/>
    <w:rsid w:val="009E14BA"/>
    <w:rsid w:val="009E2439"/>
    <w:rsid w:val="009E2AED"/>
    <w:rsid w:val="009E3892"/>
    <w:rsid w:val="009E631A"/>
    <w:rsid w:val="009F693E"/>
    <w:rsid w:val="00A0534B"/>
    <w:rsid w:val="00A068A0"/>
    <w:rsid w:val="00A102F3"/>
    <w:rsid w:val="00A1146E"/>
    <w:rsid w:val="00A1727E"/>
    <w:rsid w:val="00A271B5"/>
    <w:rsid w:val="00A33ACE"/>
    <w:rsid w:val="00A33B45"/>
    <w:rsid w:val="00A34815"/>
    <w:rsid w:val="00A35633"/>
    <w:rsid w:val="00A4223B"/>
    <w:rsid w:val="00A4475B"/>
    <w:rsid w:val="00A44C7C"/>
    <w:rsid w:val="00A452BC"/>
    <w:rsid w:val="00A502A6"/>
    <w:rsid w:val="00A619FE"/>
    <w:rsid w:val="00A642E8"/>
    <w:rsid w:val="00A717AA"/>
    <w:rsid w:val="00A75509"/>
    <w:rsid w:val="00A770C6"/>
    <w:rsid w:val="00A860F6"/>
    <w:rsid w:val="00A90B70"/>
    <w:rsid w:val="00A93C30"/>
    <w:rsid w:val="00A94012"/>
    <w:rsid w:val="00AA068C"/>
    <w:rsid w:val="00AA17E1"/>
    <w:rsid w:val="00AA222C"/>
    <w:rsid w:val="00AA30B7"/>
    <w:rsid w:val="00AA3DEF"/>
    <w:rsid w:val="00AA4361"/>
    <w:rsid w:val="00AA4B15"/>
    <w:rsid w:val="00AA7C52"/>
    <w:rsid w:val="00AB6D01"/>
    <w:rsid w:val="00AC04BF"/>
    <w:rsid w:val="00AC4319"/>
    <w:rsid w:val="00AC68CA"/>
    <w:rsid w:val="00AD47C0"/>
    <w:rsid w:val="00AD7B8A"/>
    <w:rsid w:val="00AE6693"/>
    <w:rsid w:val="00AE7547"/>
    <w:rsid w:val="00AF0AE7"/>
    <w:rsid w:val="00AF2959"/>
    <w:rsid w:val="00AF2EB5"/>
    <w:rsid w:val="00AF41A4"/>
    <w:rsid w:val="00B004A5"/>
    <w:rsid w:val="00B01B2A"/>
    <w:rsid w:val="00B0278D"/>
    <w:rsid w:val="00B076BE"/>
    <w:rsid w:val="00B10E9B"/>
    <w:rsid w:val="00B11CCA"/>
    <w:rsid w:val="00B14DC7"/>
    <w:rsid w:val="00B14F32"/>
    <w:rsid w:val="00B16273"/>
    <w:rsid w:val="00B17F14"/>
    <w:rsid w:val="00B300D4"/>
    <w:rsid w:val="00B30D8E"/>
    <w:rsid w:val="00B346C2"/>
    <w:rsid w:val="00B36658"/>
    <w:rsid w:val="00B37CDF"/>
    <w:rsid w:val="00B42BF5"/>
    <w:rsid w:val="00B437AE"/>
    <w:rsid w:val="00B4434A"/>
    <w:rsid w:val="00B4543B"/>
    <w:rsid w:val="00B464C0"/>
    <w:rsid w:val="00B46986"/>
    <w:rsid w:val="00B5250C"/>
    <w:rsid w:val="00B5509F"/>
    <w:rsid w:val="00B57C4C"/>
    <w:rsid w:val="00B57EC4"/>
    <w:rsid w:val="00B57F8D"/>
    <w:rsid w:val="00B600A6"/>
    <w:rsid w:val="00B61202"/>
    <w:rsid w:val="00B63BD6"/>
    <w:rsid w:val="00B647AB"/>
    <w:rsid w:val="00B64D5F"/>
    <w:rsid w:val="00B64E30"/>
    <w:rsid w:val="00B678E0"/>
    <w:rsid w:val="00B6796B"/>
    <w:rsid w:val="00B731FF"/>
    <w:rsid w:val="00B825D4"/>
    <w:rsid w:val="00B84CF4"/>
    <w:rsid w:val="00B85A40"/>
    <w:rsid w:val="00B87FE2"/>
    <w:rsid w:val="00B92509"/>
    <w:rsid w:val="00BA3935"/>
    <w:rsid w:val="00BB151F"/>
    <w:rsid w:val="00BB1975"/>
    <w:rsid w:val="00BB3022"/>
    <w:rsid w:val="00BC16D0"/>
    <w:rsid w:val="00BC2CF5"/>
    <w:rsid w:val="00BC5DEB"/>
    <w:rsid w:val="00BD0F4A"/>
    <w:rsid w:val="00BD2B59"/>
    <w:rsid w:val="00BD7287"/>
    <w:rsid w:val="00BD734C"/>
    <w:rsid w:val="00BE0A8C"/>
    <w:rsid w:val="00BE4488"/>
    <w:rsid w:val="00BE51E0"/>
    <w:rsid w:val="00BE5221"/>
    <w:rsid w:val="00BE55D7"/>
    <w:rsid w:val="00BE7F4E"/>
    <w:rsid w:val="00C05FA7"/>
    <w:rsid w:val="00C1634B"/>
    <w:rsid w:val="00C20BAA"/>
    <w:rsid w:val="00C20FCB"/>
    <w:rsid w:val="00C308CE"/>
    <w:rsid w:val="00C32278"/>
    <w:rsid w:val="00C507BA"/>
    <w:rsid w:val="00C62577"/>
    <w:rsid w:val="00C64908"/>
    <w:rsid w:val="00C70993"/>
    <w:rsid w:val="00C73A8A"/>
    <w:rsid w:val="00C80B76"/>
    <w:rsid w:val="00C80CC4"/>
    <w:rsid w:val="00C84952"/>
    <w:rsid w:val="00C97A60"/>
    <w:rsid w:val="00CA2FF7"/>
    <w:rsid w:val="00CA4223"/>
    <w:rsid w:val="00CB3EEB"/>
    <w:rsid w:val="00CB4899"/>
    <w:rsid w:val="00CB7451"/>
    <w:rsid w:val="00CC0A17"/>
    <w:rsid w:val="00CC3564"/>
    <w:rsid w:val="00CC3986"/>
    <w:rsid w:val="00CC5CF3"/>
    <w:rsid w:val="00CC65F8"/>
    <w:rsid w:val="00CC73EC"/>
    <w:rsid w:val="00CD1CBF"/>
    <w:rsid w:val="00CD43C8"/>
    <w:rsid w:val="00CD475D"/>
    <w:rsid w:val="00CD47F2"/>
    <w:rsid w:val="00CD5143"/>
    <w:rsid w:val="00CD6379"/>
    <w:rsid w:val="00CE519D"/>
    <w:rsid w:val="00CE5B5F"/>
    <w:rsid w:val="00D007D1"/>
    <w:rsid w:val="00D03925"/>
    <w:rsid w:val="00D07672"/>
    <w:rsid w:val="00D10549"/>
    <w:rsid w:val="00D105A5"/>
    <w:rsid w:val="00D10F47"/>
    <w:rsid w:val="00D11DBE"/>
    <w:rsid w:val="00D12893"/>
    <w:rsid w:val="00D14410"/>
    <w:rsid w:val="00D212A2"/>
    <w:rsid w:val="00D240A9"/>
    <w:rsid w:val="00D27970"/>
    <w:rsid w:val="00D3163A"/>
    <w:rsid w:val="00D328FC"/>
    <w:rsid w:val="00D373EE"/>
    <w:rsid w:val="00D37A00"/>
    <w:rsid w:val="00D44DE7"/>
    <w:rsid w:val="00D45407"/>
    <w:rsid w:val="00D5009B"/>
    <w:rsid w:val="00D513CA"/>
    <w:rsid w:val="00D514F8"/>
    <w:rsid w:val="00D70938"/>
    <w:rsid w:val="00D761FB"/>
    <w:rsid w:val="00D779CF"/>
    <w:rsid w:val="00D82EE2"/>
    <w:rsid w:val="00D833EC"/>
    <w:rsid w:val="00D8412A"/>
    <w:rsid w:val="00D84927"/>
    <w:rsid w:val="00D84B2D"/>
    <w:rsid w:val="00D85B50"/>
    <w:rsid w:val="00D86FE7"/>
    <w:rsid w:val="00D91365"/>
    <w:rsid w:val="00DA6F7A"/>
    <w:rsid w:val="00DB30D9"/>
    <w:rsid w:val="00DB67E5"/>
    <w:rsid w:val="00DD0C23"/>
    <w:rsid w:val="00DD383B"/>
    <w:rsid w:val="00DD38C7"/>
    <w:rsid w:val="00DD4719"/>
    <w:rsid w:val="00DD567F"/>
    <w:rsid w:val="00DE1939"/>
    <w:rsid w:val="00DF17FA"/>
    <w:rsid w:val="00DF7AC5"/>
    <w:rsid w:val="00E009DE"/>
    <w:rsid w:val="00E00B57"/>
    <w:rsid w:val="00E024C3"/>
    <w:rsid w:val="00E02FE7"/>
    <w:rsid w:val="00E07606"/>
    <w:rsid w:val="00E25C3E"/>
    <w:rsid w:val="00E352E3"/>
    <w:rsid w:val="00E41C2B"/>
    <w:rsid w:val="00E51A22"/>
    <w:rsid w:val="00E52A8E"/>
    <w:rsid w:val="00E57817"/>
    <w:rsid w:val="00E62E28"/>
    <w:rsid w:val="00E64516"/>
    <w:rsid w:val="00E646F7"/>
    <w:rsid w:val="00E67D2A"/>
    <w:rsid w:val="00E748BD"/>
    <w:rsid w:val="00E74BF2"/>
    <w:rsid w:val="00E76B26"/>
    <w:rsid w:val="00E80BA9"/>
    <w:rsid w:val="00E81933"/>
    <w:rsid w:val="00E83EC8"/>
    <w:rsid w:val="00E92B01"/>
    <w:rsid w:val="00E9745E"/>
    <w:rsid w:val="00E974C6"/>
    <w:rsid w:val="00E97A1C"/>
    <w:rsid w:val="00EA7929"/>
    <w:rsid w:val="00EB72CD"/>
    <w:rsid w:val="00EC1120"/>
    <w:rsid w:val="00EC296D"/>
    <w:rsid w:val="00ED1811"/>
    <w:rsid w:val="00EF03F5"/>
    <w:rsid w:val="00EF3B02"/>
    <w:rsid w:val="00F03079"/>
    <w:rsid w:val="00F038CB"/>
    <w:rsid w:val="00F05E2E"/>
    <w:rsid w:val="00F071A5"/>
    <w:rsid w:val="00F073D0"/>
    <w:rsid w:val="00F10D8C"/>
    <w:rsid w:val="00F1621B"/>
    <w:rsid w:val="00F21246"/>
    <w:rsid w:val="00F35B88"/>
    <w:rsid w:val="00F40792"/>
    <w:rsid w:val="00F40DCD"/>
    <w:rsid w:val="00F4574B"/>
    <w:rsid w:val="00F468DF"/>
    <w:rsid w:val="00F473E7"/>
    <w:rsid w:val="00F47BD8"/>
    <w:rsid w:val="00F52EE9"/>
    <w:rsid w:val="00F5777C"/>
    <w:rsid w:val="00F602FF"/>
    <w:rsid w:val="00F62D89"/>
    <w:rsid w:val="00F71472"/>
    <w:rsid w:val="00F72D76"/>
    <w:rsid w:val="00F73DC2"/>
    <w:rsid w:val="00F75BB2"/>
    <w:rsid w:val="00F7653A"/>
    <w:rsid w:val="00F77C86"/>
    <w:rsid w:val="00F831BB"/>
    <w:rsid w:val="00F83A10"/>
    <w:rsid w:val="00F90D90"/>
    <w:rsid w:val="00F914D6"/>
    <w:rsid w:val="00F97432"/>
    <w:rsid w:val="00FA6E74"/>
    <w:rsid w:val="00FB222A"/>
    <w:rsid w:val="00FB45CE"/>
    <w:rsid w:val="00FB6906"/>
    <w:rsid w:val="00FB6AD1"/>
    <w:rsid w:val="00FC623B"/>
    <w:rsid w:val="00FD2512"/>
    <w:rsid w:val="00FD5454"/>
    <w:rsid w:val="00FE2F11"/>
    <w:rsid w:val="00FE30B8"/>
    <w:rsid w:val="00FE4A62"/>
    <w:rsid w:val="00FE4B88"/>
    <w:rsid w:val="00FF1A21"/>
    <w:rsid w:val="00FF41B5"/>
    <w:rsid w:val="00FF7B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61898"/>
  <w15:docId w15:val="{F2C16CED-F806-4A97-9E5E-7ABE68C7D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679"/>
    <w:pPr>
      <w:spacing w:before="240" w:after="120"/>
      <w:jc w:val="both"/>
    </w:pPr>
    <w:rPr>
      <w:rFonts w:asciiTheme="majorHAnsi" w:hAnsiTheme="majorHAnsi"/>
    </w:rPr>
  </w:style>
  <w:style w:type="paragraph" w:styleId="Titre1">
    <w:name w:val="heading 1"/>
    <w:basedOn w:val="Normal"/>
    <w:next w:val="Normal"/>
    <w:link w:val="Titre1Car"/>
    <w:uiPriority w:val="9"/>
    <w:qFormat/>
    <w:rsid w:val="006F7059"/>
    <w:pPr>
      <w:keepNext/>
      <w:keepLines/>
      <w:spacing w:after="240"/>
      <w:outlineLvl w:val="0"/>
    </w:pPr>
    <w:rPr>
      <w:rFonts w:ascii="Century Gothic" w:eastAsiaTheme="majorEastAsia" w:hAnsi="Century Gothic" w:cstheme="majorBidi"/>
      <w:b/>
      <w:bCs/>
      <w:color w:val="2A6C7D" w:themeColor="accent1" w:themeShade="BF"/>
      <w:sz w:val="28"/>
      <w:szCs w:val="28"/>
    </w:rPr>
  </w:style>
  <w:style w:type="paragraph" w:styleId="Titre2">
    <w:name w:val="heading 2"/>
    <w:basedOn w:val="Normal"/>
    <w:next w:val="Normal"/>
    <w:link w:val="Titre2Car"/>
    <w:uiPriority w:val="9"/>
    <w:unhideWhenUsed/>
    <w:qFormat/>
    <w:rsid w:val="006F7059"/>
    <w:pPr>
      <w:keepNext/>
      <w:keepLines/>
      <w:spacing w:before="120" w:after="0"/>
      <w:outlineLvl w:val="1"/>
    </w:pPr>
    <w:rPr>
      <w:rFonts w:eastAsiaTheme="majorEastAsia" w:cstheme="majorBidi"/>
      <w:b/>
      <w:bCs/>
      <w:color w:val="2A6C7D" w:themeColor="accent1" w:themeShade="BF"/>
      <w:sz w:val="24"/>
      <w:szCs w:val="26"/>
    </w:rPr>
  </w:style>
  <w:style w:type="paragraph" w:styleId="Titre3">
    <w:name w:val="heading 3"/>
    <w:basedOn w:val="Normal"/>
    <w:next w:val="Normal"/>
    <w:link w:val="Titre3Car"/>
    <w:uiPriority w:val="9"/>
    <w:unhideWhenUsed/>
    <w:qFormat/>
    <w:rsid w:val="006F7059"/>
    <w:pPr>
      <w:keepNext/>
      <w:keepLines/>
      <w:spacing w:before="120" w:after="0"/>
      <w:outlineLvl w:val="2"/>
    </w:pPr>
    <w:rPr>
      <w:rFonts w:eastAsiaTheme="majorEastAsia" w:cstheme="majorBidi"/>
      <w:b/>
      <w:bCs/>
      <w:color w:val="3891A7"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97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6F7059"/>
    <w:rPr>
      <w:rFonts w:ascii="Century Gothic" w:eastAsiaTheme="majorEastAsia" w:hAnsi="Century Gothic" w:cstheme="majorBidi"/>
      <w:b/>
      <w:bCs/>
      <w:color w:val="2A6C7D" w:themeColor="accent1" w:themeShade="BF"/>
      <w:sz w:val="28"/>
      <w:szCs w:val="28"/>
    </w:rPr>
  </w:style>
  <w:style w:type="paragraph" w:styleId="Titre">
    <w:name w:val="Title"/>
    <w:basedOn w:val="Normal"/>
    <w:next w:val="Normal"/>
    <w:link w:val="TitreCar"/>
    <w:uiPriority w:val="10"/>
    <w:qFormat/>
    <w:rsid w:val="006F7059"/>
    <w:pPr>
      <w:spacing w:after="300" w:line="240" w:lineRule="auto"/>
      <w:contextualSpacing/>
    </w:pPr>
    <w:rPr>
      <w:rFonts w:ascii="Century Gothic" w:eastAsiaTheme="majorEastAsia" w:hAnsi="Century Gothic" w:cstheme="majorBidi"/>
      <w:b/>
      <w:color w:val="2A6C7D" w:themeColor="accent1" w:themeShade="BF"/>
      <w:spacing w:val="5"/>
      <w:kern w:val="28"/>
      <w:sz w:val="40"/>
      <w:szCs w:val="52"/>
    </w:rPr>
  </w:style>
  <w:style w:type="character" w:customStyle="1" w:styleId="TitreCar">
    <w:name w:val="Titre Car"/>
    <w:basedOn w:val="Policepardfaut"/>
    <w:link w:val="Titre"/>
    <w:uiPriority w:val="10"/>
    <w:rsid w:val="006F7059"/>
    <w:rPr>
      <w:rFonts w:ascii="Century Gothic" w:eastAsiaTheme="majorEastAsia" w:hAnsi="Century Gothic" w:cstheme="majorBidi"/>
      <w:b/>
      <w:color w:val="2A6C7D" w:themeColor="accent1" w:themeShade="BF"/>
      <w:spacing w:val="5"/>
      <w:kern w:val="28"/>
      <w:sz w:val="40"/>
      <w:szCs w:val="52"/>
    </w:rPr>
  </w:style>
  <w:style w:type="character" w:styleId="Lienhypertexte">
    <w:name w:val="Hyperlink"/>
    <w:basedOn w:val="Policepardfaut"/>
    <w:uiPriority w:val="99"/>
    <w:unhideWhenUsed/>
    <w:rsid w:val="003062B2"/>
    <w:rPr>
      <w:color w:val="8DC765" w:themeColor="hyperlink"/>
      <w:u w:val="single"/>
    </w:rPr>
  </w:style>
  <w:style w:type="paragraph" w:styleId="Textedebulles">
    <w:name w:val="Balloon Text"/>
    <w:basedOn w:val="Normal"/>
    <w:link w:val="TextedebullesCar"/>
    <w:uiPriority w:val="99"/>
    <w:semiHidden/>
    <w:unhideWhenUsed/>
    <w:rsid w:val="003062B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062B2"/>
    <w:rPr>
      <w:rFonts w:ascii="Tahoma" w:hAnsi="Tahoma" w:cs="Tahoma"/>
      <w:sz w:val="16"/>
      <w:szCs w:val="16"/>
    </w:rPr>
  </w:style>
  <w:style w:type="paragraph" w:styleId="En-tte">
    <w:name w:val="header"/>
    <w:basedOn w:val="Normal"/>
    <w:link w:val="En-tteCar"/>
    <w:uiPriority w:val="99"/>
    <w:unhideWhenUsed/>
    <w:rsid w:val="00BE51E0"/>
    <w:pPr>
      <w:tabs>
        <w:tab w:val="center" w:pos="4536"/>
        <w:tab w:val="right" w:pos="9072"/>
      </w:tabs>
      <w:spacing w:after="0" w:line="240" w:lineRule="auto"/>
    </w:pPr>
  </w:style>
  <w:style w:type="character" w:customStyle="1" w:styleId="En-tteCar">
    <w:name w:val="En-tête Car"/>
    <w:basedOn w:val="Policepardfaut"/>
    <w:link w:val="En-tte"/>
    <w:uiPriority w:val="99"/>
    <w:rsid w:val="00BE51E0"/>
  </w:style>
  <w:style w:type="paragraph" w:styleId="Pieddepage">
    <w:name w:val="footer"/>
    <w:basedOn w:val="Normal"/>
    <w:link w:val="PieddepageCar"/>
    <w:uiPriority w:val="99"/>
    <w:unhideWhenUsed/>
    <w:rsid w:val="00BE51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E51E0"/>
  </w:style>
  <w:style w:type="paragraph" w:styleId="Sansinterligne">
    <w:name w:val="No Spacing"/>
    <w:aliases w:val="image"/>
    <w:link w:val="SansinterligneCar"/>
    <w:uiPriority w:val="1"/>
    <w:qFormat/>
    <w:rsid w:val="00E352E3"/>
    <w:pPr>
      <w:spacing w:after="0" w:line="240" w:lineRule="auto"/>
      <w:jc w:val="center"/>
    </w:pPr>
    <w:rPr>
      <w:rFonts w:asciiTheme="majorHAnsi" w:eastAsiaTheme="minorEastAsia" w:hAnsiTheme="majorHAnsi"/>
    </w:rPr>
  </w:style>
  <w:style w:type="character" w:customStyle="1" w:styleId="SansinterligneCar">
    <w:name w:val="Sans interligne Car"/>
    <w:aliases w:val="image Car"/>
    <w:basedOn w:val="Policepardfaut"/>
    <w:link w:val="Sansinterligne"/>
    <w:uiPriority w:val="1"/>
    <w:rsid w:val="00E352E3"/>
    <w:rPr>
      <w:rFonts w:asciiTheme="majorHAnsi" w:eastAsiaTheme="minorEastAsia" w:hAnsiTheme="majorHAnsi"/>
    </w:rPr>
  </w:style>
  <w:style w:type="character" w:customStyle="1" w:styleId="Titre2Car">
    <w:name w:val="Titre 2 Car"/>
    <w:basedOn w:val="Policepardfaut"/>
    <w:link w:val="Titre2"/>
    <w:uiPriority w:val="9"/>
    <w:rsid w:val="006F7059"/>
    <w:rPr>
      <w:rFonts w:asciiTheme="majorHAnsi" w:eastAsiaTheme="majorEastAsia" w:hAnsiTheme="majorHAnsi" w:cstheme="majorBidi"/>
      <w:b/>
      <w:bCs/>
      <w:color w:val="2A6C7D" w:themeColor="accent1" w:themeShade="BF"/>
      <w:sz w:val="24"/>
      <w:szCs w:val="26"/>
    </w:rPr>
  </w:style>
  <w:style w:type="character" w:styleId="Emphaseple">
    <w:name w:val="Subtle Emphasis"/>
    <w:aliases w:val="équation"/>
    <w:basedOn w:val="Policepardfaut"/>
    <w:uiPriority w:val="19"/>
    <w:qFormat/>
    <w:rsid w:val="001422FF"/>
    <w:rPr>
      <w:rFonts w:ascii="Cambria Math" w:hAnsi="Cambria Math"/>
      <w:i/>
      <w:iCs/>
      <w:color w:val="auto"/>
      <w:sz w:val="22"/>
    </w:rPr>
  </w:style>
  <w:style w:type="character" w:styleId="Titredulivre">
    <w:name w:val="Book Title"/>
    <w:basedOn w:val="Policepardfaut"/>
    <w:uiPriority w:val="33"/>
    <w:qFormat/>
    <w:rsid w:val="00B85A40"/>
    <w:rPr>
      <w:rFonts w:ascii="Century Gothic" w:hAnsi="Century Gothic"/>
      <w:b/>
      <w:bCs/>
      <w:dstrike w:val="0"/>
      <w:vanish/>
      <w:color w:val="2A6C7D" w:themeColor="accent1" w:themeShade="BF"/>
      <w:spacing w:val="5"/>
      <w:sz w:val="22"/>
      <w:vertAlign w:val="baseline"/>
    </w:rPr>
  </w:style>
  <w:style w:type="paragraph" w:styleId="Citationintense">
    <w:name w:val="Intense Quote"/>
    <w:aliases w:val="réf ressource"/>
    <w:basedOn w:val="Normal"/>
    <w:next w:val="Normal"/>
    <w:link w:val="CitationintenseCar"/>
    <w:uiPriority w:val="30"/>
    <w:qFormat/>
    <w:rsid w:val="00B85A40"/>
    <w:pPr>
      <w:pBdr>
        <w:bottom w:val="single" w:sz="4" w:space="4" w:color="3891A7" w:themeColor="accent1"/>
      </w:pBdr>
      <w:spacing w:before="0"/>
      <w:ind w:left="936" w:right="936"/>
      <w:jc w:val="center"/>
    </w:pPr>
    <w:rPr>
      <w:rFonts w:ascii="Century Gothic" w:hAnsi="Century Gothic"/>
      <w:b/>
      <w:bCs/>
      <w:iCs/>
      <w:color w:val="2A6C7D" w:themeColor="accent1" w:themeShade="BF"/>
    </w:rPr>
  </w:style>
  <w:style w:type="character" w:customStyle="1" w:styleId="CitationintenseCar">
    <w:name w:val="Citation intense Car"/>
    <w:aliases w:val="réf ressource Car"/>
    <w:basedOn w:val="Policepardfaut"/>
    <w:link w:val="Citationintense"/>
    <w:uiPriority w:val="30"/>
    <w:rsid w:val="00B85A40"/>
    <w:rPr>
      <w:rFonts w:ascii="Century Gothic" w:hAnsi="Century Gothic"/>
      <w:b/>
      <w:bCs/>
      <w:iCs/>
      <w:color w:val="2A6C7D" w:themeColor="accent1" w:themeShade="BF"/>
    </w:rPr>
  </w:style>
  <w:style w:type="character" w:customStyle="1" w:styleId="Titre3Car">
    <w:name w:val="Titre 3 Car"/>
    <w:basedOn w:val="Policepardfaut"/>
    <w:link w:val="Titre3"/>
    <w:uiPriority w:val="9"/>
    <w:rsid w:val="006F7059"/>
    <w:rPr>
      <w:rFonts w:asciiTheme="majorHAnsi" w:eastAsiaTheme="majorEastAsia" w:hAnsiTheme="majorHAnsi" w:cstheme="majorBidi"/>
      <w:b/>
      <w:bCs/>
      <w:color w:val="3891A7" w:themeColor="accent1"/>
    </w:rPr>
  </w:style>
  <w:style w:type="paragraph" w:styleId="NormalWeb">
    <w:name w:val="Normal (Web)"/>
    <w:basedOn w:val="Normal"/>
    <w:uiPriority w:val="99"/>
    <w:semiHidden/>
    <w:unhideWhenUsed/>
    <w:rsid w:val="00591A97"/>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styleId="Rfrenceple">
    <w:name w:val="Subtle Reference"/>
    <w:aliases w:val="Réf ressource"/>
    <w:basedOn w:val="Policepardfaut"/>
    <w:uiPriority w:val="31"/>
    <w:qFormat/>
    <w:rsid w:val="005F41B3"/>
    <w:rPr>
      <w:rFonts w:ascii="Century Gothic" w:hAnsi="Century Gothic"/>
      <w:dstrike w:val="0"/>
      <w:color w:val="2A6C7D" w:themeColor="accent1" w:themeShade="BF"/>
      <w:sz w:val="22"/>
      <w:u w:val="none"/>
      <w:vertAlign w:val="baseline"/>
    </w:rPr>
  </w:style>
  <w:style w:type="character" w:styleId="Accentuation">
    <w:name w:val="Emphasis"/>
    <w:basedOn w:val="Policepardfaut"/>
    <w:uiPriority w:val="20"/>
    <w:qFormat/>
    <w:rsid w:val="00C507BA"/>
    <w:rPr>
      <w:b/>
      <w:iCs/>
    </w:rPr>
  </w:style>
  <w:style w:type="paragraph" w:styleId="Paragraphedeliste">
    <w:name w:val="List Paragraph"/>
    <w:basedOn w:val="Normal"/>
    <w:uiPriority w:val="34"/>
    <w:qFormat/>
    <w:rsid w:val="00921CDC"/>
    <w:pPr>
      <w:ind w:left="720"/>
      <w:contextualSpacing/>
    </w:pPr>
  </w:style>
  <w:style w:type="paragraph" w:styleId="Lgende">
    <w:name w:val="caption"/>
    <w:basedOn w:val="Normal"/>
    <w:next w:val="Normal"/>
    <w:uiPriority w:val="35"/>
    <w:unhideWhenUsed/>
    <w:qFormat/>
    <w:rsid w:val="00E352E3"/>
    <w:pPr>
      <w:spacing w:before="60" w:after="0" w:line="240" w:lineRule="auto"/>
      <w:jc w:val="center"/>
    </w:pPr>
    <w:rPr>
      <w:bCs/>
      <w:i/>
      <w:sz w:val="20"/>
      <w:szCs w:val="18"/>
    </w:rPr>
  </w:style>
  <w:style w:type="paragraph" w:styleId="Bibliographie">
    <w:name w:val="Bibliography"/>
    <w:basedOn w:val="Normal"/>
    <w:next w:val="Normal"/>
    <w:uiPriority w:val="37"/>
    <w:unhideWhenUsed/>
    <w:rsid w:val="000E425D"/>
  </w:style>
  <w:style w:type="character" w:styleId="Marquedecommentaire">
    <w:name w:val="annotation reference"/>
    <w:basedOn w:val="Policepardfaut"/>
    <w:uiPriority w:val="99"/>
    <w:semiHidden/>
    <w:unhideWhenUsed/>
    <w:rsid w:val="00D10F47"/>
    <w:rPr>
      <w:sz w:val="16"/>
      <w:szCs w:val="16"/>
    </w:rPr>
  </w:style>
  <w:style w:type="paragraph" w:styleId="Commentaire">
    <w:name w:val="annotation text"/>
    <w:basedOn w:val="Normal"/>
    <w:link w:val="CommentaireCar"/>
    <w:uiPriority w:val="99"/>
    <w:unhideWhenUsed/>
    <w:rsid w:val="00D10F47"/>
    <w:pPr>
      <w:spacing w:line="240" w:lineRule="auto"/>
    </w:pPr>
    <w:rPr>
      <w:sz w:val="20"/>
      <w:szCs w:val="20"/>
    </w:rPr>
  </w:style>
  <w:style w:type="character" w:customStyle="1" w:styleId="CommentaireCar">
    <w:name w:val="Commentaire Car"/>
    <w:basedOn w:val="Policepardfaut"/>
    <w:link w:val="Commentaire"/>
    <w:uiPriority w:val="99"/>
    <w:rsid w:val="00D10F47"/>
    <w:rPr>
      <w:rFonts w:asciiTheme="majorHAnsi" w:hAnsiTheme="majorHAnsi"/>
      <w:sz w:val="20"/>
      <w:szCs w:val="20"/>
    </w:rPr>
  </w:style>
  <w:style w:type="character" w:customStyle="1" w:styleId="Accentuation1">
    <w:name w:val="Accentuation1"/>
    <w:basedOn w:val="Policepardfaut"/>
    <w:rsid w:val="007211F4"/>
  </w:style>
  <w:style w:type="paragraph" w:styleId="Notedebasdepage">
    <w:name w:val="footnote text"/>
    <w:basedOn w:val="Normal"/>
    <w:link w:val="NotedebasdepageCar"/>
    <w:uiPriority w:val="99"/>
    <w:semiHidden/>
    <w:unhideWhenUsed/>
    <w:rsid w:val="006E456F"/>
    <w:pPr>
      <w:spacing w:before="0" w:after="0" w:line="240" w:lineRule="auto"/>
    </w:pPr>
    <w:rPr>
      <w:sz w:val="20"/>
      <w:szCs w:val="20"/>
    </w:rPr>
  </w:style>
  <w:style w:type="character" w:customStyle="1" w:styleId="NotedebasdepageCar">
    <w:name w:val="Note de bas de page Car"/>
    <w:basedOn w:val="Policepardfaut"/>
    <w:link w:val="Notedebasdepage"/>
    <w:uiPriority w:val="99"/>
    <w:semiHidden/>
    <w:rsid w:val="006E456F"/>
    <w:rPr>
      <w:rFonts w:asciiTheme="majorHAnsi" w:hAnsiTheme="majorHAnsi"/>
      <w:sz w:val="20"/>
      <w:szCs w:val="20"/>
    </w:rPr>
  </w:style>
  <w:style w:type="character" w:styleId="Appelnotedebasdep">
    <w:name w:val="footnote reference"/>
    <w:basedOn w:val="Policepardfaut"/>
    <w:uiPriority w:val="99"/>
    <w:semiHidden/>
    <w:unhideWhenUsed/>
    <w:rsid w:val="006E456F"/>
    <w:rPr>
      <w:vertAlign w:val="superscript"/>
    </w:rPr>
  </w:style>
  <w:style w:type="character" w:styleId="Lienhypertextesuivivisit">
    <w:name w:val="FollowedHyperlink"/>
    <w:basedOn w:val="Policepardfaut"/>
    <w:uiPriority w:val="99"/>
    <w:semiHidden/>
    <w:unhideWhenUsed/>
    <w:rsid w:val="000709B6"/>
    <w:rPr>
      <w:color w:val="AA8A14" w:themeColor="followedHyperlink"/>
      <w:u w:val="single"/>
    </w:rPr>
  </w:style>
  <w:style w:type="character" w:styleId="lev">
    <w:name w:val="Strong"/>
    <w:basedOn w:val="Policepardfaut"/>
    <w:uiPriority w:val="22"/>
    <w:qFormat/>
    <w:rsid w:val="007E35B3"/>
    <w:rPr>
      <w:b/>
      <w:bCs/>
    </w:rPr>
  </w:style>
  <w:style w:type="character" w:customStyle="1" w:styleId="font-secondaire">
    <w:name w:val="font-secondaire"/>
    <w:basedOn w:val="Policepardfaut"/>
    <w:rsid w:val="00DD567F"/>
  </w:style>
  <w:style w:type="paragraph" w:styleId="Objetducommentaire">
    <w:name w:val="annotation subject"/>
    <w:basedOn w:val="Commentaire"/>
    <w:next w:val="Commentaire"/>
    <w:link w:val="ObjetducommentaireCar"/>
    <w:uiPriority w:val="99"/>
    <w:semiHidden/>
    <w:unhideWhenUsed/>
    <w:rsid w:val="00A35633"/>
    <w:rPr>
      <w:b/>
      <w:bCs/>
    </w:rPr>
  </w:style>
  <w:style w:type="character" w:customStyle="1" w:styleId="ObjetducommentaireCar">
    <w:name w:val="Objet du commentaire Car"/>
    <w:basedOn w:val="CommentaireCar"/>
    <w:link w:val="Objetducommentaire"/>
    <w:uiPriority w:val="99"/>
    <w:semiHidden/>
    <w:rsid w:val="00A35633"/>
    <w:rPr>
      <w:rFonts w:asciiTheme="majorHAnsi" w:hAnsiTheme="majorHAnsi"/>
      <w:b/>
      <w:bCs/>
      <w:sz w:val="20"/>
      <w:szCs w:val="20"/>
    </w:rPr>
  </w:style>
  <w:style w:type="character" w:customStyle="1" w:styleId="bold">
    <w:name w:val="bold"/>
    <w:basedOn w:val="Policepardfaut"/>
    <w:rsid w:val="008418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06158">
      <w:bodyDiv w:val="1"/>
      <w:marLeft w:val="0"/>
      <w:marRight w:val="0"/>
      <w:marTop w:val="0"/>
      <w:marBottom w:val="0"/>
      <w:divBdr>
        <w:top w:val="none" w:sz="0" w:space="0" w:color="auto"/>
        <w:left w:val="none" w:sz="0" w:space="0" w:color="auto"/>
        <w:bottom w:val="none" w:sz="0" w:space="0" w:color="auto"/>
        <w:right w:val="none" w:sz="0" w:space="0" w:color="auto"/>
      </w:divBdr>
      <w:divsChild>
        <w:div w:id="401489772">
          <w:marLeft w:val="0"/>
          <w:marRight w:val="0"/>
          <w:marTop w:val="0"/>
          <w:marBottom w:val="0"/>
          <w:divBdr>
            <w:top w:val="none" w:sz="0" w:space="0" w:color="auto"/>
            <w:left w:val="none" w:sz="0" w:space="0" w:color="auto"/>
            <w:bottom w:val="none" w:sz="0" w:space="0" w:color="auto"/>
            <w:right w:val="none" w:sz="0" w:space="0" w:color="auto"/>
          </w:divBdr>
          <w:divsChild>
            <w:div w:id="557595389">
              <w:marLeft w:val="0"/>
              <w:marRight w:val="0"/>
              <w:marTop w:val="0"/>
              <w:marBottom w:val="0"/>
              <w:divBdr>
                <w:top w:val="none" w:sz="0" w:space="0" w:color="auto"/>
                <w:left w:val="none" w:sz="0" w:space="0" w:color="auto"/>
                <w:bottom w:val="none" w:sz="0" w:space="0" w:color="auto"/>
                <w:right w:val="none" w:sz="0" w:space="0" w:color="auto"/>
              </w:divBdr>
            </w:div>
          </w:divsChild>
        </w:div>
        <w:div w:id="631253235">
          <w:marLeft w:val="0"/>
          <w:marRight w:val="0"/>
          <w:marTop w:val="0"/>
          <w:marBottom w:val="0"/>
          <w:divBdr>
            <w:top w:val="none" w:sz="0" w:space="0" w:color="auto"/>
            <w:left w:val="none" w:sz="0" w:space="0" w:color="auto"/>
            <w:bottom w:val="none" w:sz="0" w:space="0" w:color="auto"/>
            <w:right w:val="none" w:sz="0" w:space="0" w:color="auto"/>
          </w:divBdr>
        </w:div>
        <w:div w:id="288056578">
          <w:marLeft w:val="0"/>
          <w:marRight w:val="0"/>
          <w:marTop w:val="0"/>
          <w:marBottom w:val="0"/>
          <w:divBdr>
            <w:top w:val="none" w:sz="0" w:space="0" w:color="auto"/>
            <w:left w:val="none" w:sz="0" w:space="0" w:color="auto"/>
            <w:bottom w:val="none" w:sz="0" w:space="0" w:color="auto"/>
            <w:right w:val="none" w:sz="0" w:space="0" w:color="auto"/>
          </w:divBdr>
        </w:div>
        <w:div w:id="502429895">
          <w:marLeft w:val="0"/>
          <w:marRight w:val="0"/>
          <w:marTop w:val="0"/>
          <w:marBottom w:val="0"/>
          <w:divBdr>
            <w:top w:val="none" w:sz="0" w:space="0" w:color="auto"/>
            <w:left w:val="none" w:sz="0" w:space="0" w:color="auto"/>
            <w:bottom w:val="none" w:sz="0" w:space="0" w:color="auto"/>
            <w:right w:val="none" w:sz="0" w:space="0" w:color="auto"/>
          </w:divBdr>
        </w:div>
        <w:div w:id="243879064">
          <w:marLeft w:val="0"/>
          <w:marRight w:val="0"/>
          <w:marTop w:val="0"/>
          <w:marBottom w:val="0"/>
          <w:divBdr>
            <w:top w:val="none" w:sz="0" w:space="0" w:color="auto"/>
            <w:left w:val="none" w:sz="0" w:space="0" w:color="auto"/>
            <w:bottom w:val="none" w:sz="0" w:space="0" w:color="auto"/>
            <w:right w:val="none" w:sz="0" w:space="0" w:color="auto"/>
          </w:divBdr>
        </w:div>
      </w:divsChild>
    </w:div>
    <w:div w:id="385227415">
      <w:bodyDiv w:val="1"/>
      <w:marLeft w:val="0"/>
      <w:marRight w:val="0"/>
      <w:marTop w:val="0"/>
      <w:marBottom w:val="0"/>
      <w:divBdr>
        <w:top w:val="none" w:sz="0" w:space="0" w:color="auto"/>
        <w:left w:val="none" w:sz="0" w:space="0" w:color="auto"/>
        <w:bottom w:val="none" w:sz="0" w:space="0" w:color="auto"/>
        <w:right w:val="none" w:sz="0" w:space="0" w:color="auto"/>
      </w:divBdr>
      <w:divsChild>
        <w:div w:id="1529878247">
          <w:marLeft w:val="0"/>
          <w:marRight w:val="0"/>
          <w:marTop w:val="0"/>
          <w:marBottom w:val="0"/>
          <w:divBdr>
            <w:top w:val="none" w:sz="0" w:space="0" w:color="auto"/>
            <w:left w:val="none" w:sz="0" w:space="0" w:color="auto"/>
            <w:bottom w:val="none" w:sz="0" w:space="0" w:color="auto"/>
            <w:right w:val="none" w:sz="0" w:space="0" w:color="auto"/>
          </w:divBdr>
        </w:div>
        <w:div w:id="981932671">
          <w:marLeft w:val="0"/>
          <w:marRight w:val="0"/>
          <w:marTop w:val="0"/>
          <w:marBottom w:val="0"/>
          <w:divBdr>
            <w:top w:val="none" w:sz="0" w:space="0" w:color="auto"/>
            <w:left w:val="none" w:sz="0" w:space="0" w:color="auto"/>
            <w:bottom w:val="none" w:sz="0" w:space="0" w:color="auto"/>
            <w:right w:val="none" w:sz="0" w:space="0" w:color="auto"/>
          </w:divBdr>
        </w:div>
        <w:div w:id="251547564">
          <w:marLeft w:val="0"/>
          <w:marRight w:val="0"/>
          <w:marTop w:val="0"/>
          <w:marBottom w:val="0"/>
          <w:divBdr>
            <w:top w:val="none" w:sz="0" w:space="0" w:color="auto"/>
            <w:left w:val="none" w:sz="0" w:space="0" w:color="auto"/>
            <w:bottom w:val="none" w:sz="0" w:space="0" w:color="auto"/>
            <w:right w:val="none" w:sz="0" w:space="0" w:color="auto"/>
          </w:divBdr>
        </w:div>
        <w:div w:id="357972969">
          <w:marLeft w:val="0"/>
          <w:marRight w:val="0"/>
          <w:marTop w:val="0"/>
          <w:marBottom w:val="0"/>
          <w:divBdr>
            <w:top w:val="none" w:sz="0" w:space="0" w:color="auto"/>
            <w:left w:val="none" w:sz="0" w:space="0" w:color="auto"/>
            <w:bottom w:val="none" w:sz="0" w:space="0" w:color="auto"/>
            <w:right w:val="none" w:sz="0" w:space="0" w:color="auto"/>
          </w:divBdr>
        </w:div>
        <w:div w:id="1874926367">
          <w:marLeft w:val="0"/>
          <w:marRight w:val="0"/>
          <w:marTop w:val="0"/>
          <w:marBottom w:val="0"/>
          <w:divBdr>
            <w:top w:val="none" w:sz="0" w:space="0" w:color="auto"/>
            <w:left w:val="none" w:sz="0" w:space="0" w:color="auto"/>
            <w:bottom w:val="none" w:sz="0" w:space="0" w:color="auto"/>
            <w:right w:val="none" w:sz="0" w:space="0" w:color="auto"/>
          </w:divBdr>
        </w:div>
      </w:divsChild>
    </w:div>
    <w:div w:id="454327575">
      <w:bodyDiv w:val="1"/>
      <w:marLeft w:val="0"/>
      <w:marRight w:val="0"/>
      <w:marTop w:val="0"/>
      <w:marBottom w:val="0"/>
      <w:divBdr>
        <w:top w:val="none" w:sz="0" w:space="0" w:color="auto"/>
        <w:left w:val="none" w:sz="0" w:space="0" w:color="auto"/>
        <w:bottom w:val="none" w:sz="0" w:space="0" w:color="auto"/>
        <w:right w:val="none" w:sz="0" w:space="0" w:color="auto"/>
      </w:divBdr>
      <w:divsChild>
        <w:div w:id="58482713">
          <w:marLeft w:val="0"/>
          <w:marRight w:val="0"/>
          <w:marTop w:val="0"/>
          <w:marBottom w:val="0"/>
          <w:divBdr>
            <w:top w:val="none" w:sz="0" w:space="0" w:color="auto"/>
            <w:left w:val="none" w:sz="0" w:space="0" w:color="auto"/>
            <w:bottom w:val="none" w:sz="0" w:space="0" w:color="auto"/>
            <w:right w:val="none" w:sz="0" w:space="0" w:color="auto"/>
          </w:divBdr>
          <w:divsChild>
            <w:div w:id="1249729589">
              <w:marLeft w:val="0"/>
              <w:marRight w:val="0"/>
              <w:marTop w:val="0"/>
              <w:marBottom w:val="0"/>
              <w:divBdr>
                <w:top w:val="none" w:sz="0" w:space="0" w:color="auto"/>
                <w:left w:val="none" w:sz="0" w:space="0" w:color="auto"/>
                <w:bottom w:val="none" w:sz="0" w:space="0" w:color="auto"/>
                <w:right w:val="none" w:sz="0" w:space="0" w:color="auto"/>
              </w:divBdr>
            </w:div>
          </w:divsChild>
        </w:div>
        <w:div w:id="1305506211">
          <w:marLeft w:val="0"/>
          <w:marRight w:val="0"/>
          <w:marTop w:val="0"/>
          <w:marBottom w:val="0"/>
          <w:divBdr>
            <w:top w:val="none" w:sz="0" w:space="0" w:color="auto"/>
            <w:left w:val="none" w:sz="0" w:space="0" w:color="auto"/>
            <w:bottom w:val="none" w:sz="0" w:space="0" w:color="auto"/>
            <w:right w:val="none" w:sz="0" w:space="0" w:color="auto"/>
          </w:divBdr>
          <w:divsChild>
            <w:div w:id="936331811">
              <w:marLeft w:val="0"/>
              <w:marRight w:val="0"/>
              <w:marTop w:val="0"/>
              <w:marBottom w:val="0"/>
              <w:divBdr>
                <w:top w:val="none" w:sz="0" w:space="0" w:color="auto"/>
                <w:left w:val="none" w:sz="0" w:space="0" w:color="auto"/>
                <w:bottom w:val="none" w:sz="0" w:space="0" w:color="auto"/>
                <w:right w:val="none" w:sz="0" w:space="0" w:color="auto"/>
              </w:divBdr>
            </w:div>
          </w:divsChild>
        </w:div>
        <w:div w:id="1268079298">
          <w:marLeft w:val="0"/>
          <w:marRight w:val="0"/>
          <w:marTop w:val="0"/>
          <w:marBottom w:val="0"/>
          <w:divBdr>
            <w:top w:val="none" w:sz="0" w:space="0" w:color="auto"/>
            <w:left w:val="none" w:sz="0" w:space="0" w:color="auto"/>
            <w:bottom w:val="none" w:sz="0" w:space="0" w:color="auto"/>
            <w:right w:val="none" w:sz="0" w:space="0" w:color="auto"/>
          </w:divBdr>
          <w:divsChild>
            <w:div w:id="365719412">
              <w:marLeft w:val="0"/>
              <w:marRight w:val="0"/>
              <w:marTop w:val="0"/>
              <w:marBottom w:val="0"/>
              <w:divBdr>
                <w:top w:val="none" w:sz="0" w:space="0" w:color="auto"/>
                <w:left w:val="none" w:sz="0" w:space="0" w:color="auto"/>
                <w:bottom w:val="none" w:sz="0" w:space="0" w:color="auto"/>
                <w:right w:val="none" w:sz="0" w:space="0" w:color="auto"/>
              </w:divBdr>
            </w:div>
          </w:divsChild>
        </w:div>
        <w:div w:id="898134115">
          <w:marLeft w:val="0"/>
          <w:marRight w:val="0"/>
          <w:marTop w:val="0"/>
          <w:marBottom w:val="0"/>
          <w:divBdr>
            <w:top w:val="none" w:sz="0" w:space="0" w:color="auto"/>
            <w:left w:val="none" w:sz="0" w:space="0" w:color="auto"/>
            <w:bottom w:val="none" w:sz="0" w:space="0" w:color="auto"/>
            <w:right w:val="none" w:sz="0" w:space="0" w:color="auto"/>
          </w:divBdr>
          <w:divsChild>
            <w:div w:id="1542980283">
              <w:marLeft w:val="0"/>
              <w:marRight w:val="0"/>
              <w:marTop w:val="0"/>
              <w:marBottom w:val="0"/>
              <w:divBdr>
                <w:top w:val="none" w:sz="0" w:space="0" w:color="auto"/>
                <w:left w:val="none" w:sz="0" w:space="0" w:color="auto"/>
                <w:bottom w:val="none" w:sz="0" w:space="0" w:color="auto"/>
                <w:right w:val="none" w:sz="0" w:space="0" w:color="auto"/>
              </w:divBdr>
            </w:div>
          </w:divsChild>
        </w:div>
        <w:div w:id="1120491941">
          <w:marLeft w:val="0"/>
          <w:marRight w:val="0"/>
          <w:marTop w:val="0"/>
          <w:marBottom w:val="0"/>
          <w:divBdr>
            <w:top w:val="none" w:sz="0" w:space="0" w:color="auto"/>
            <w:left w:val="none" w:sz="0" w:space="0" w:color="auto"/>
            <w:bottom w:val="none" w:sz="0" w:space="0" w:color="auto"/>
            <w:right w:val="none" w:sz="0" w:space="0" w:color="auto"/>
          </w:divBdr>
          <w:divsChild>
            <w:div w:id="579338482">
              <w:marLeft w:val="0"/>
              <w:marRight w:val="0"/>
              <w:marTop w:val="0"/>
              <w:marBottom w:val="0"/>
              <w:divBdr>
                <w:top w:val="none" w:sz="0" w:space="0" w:color="auto"/>
                <w:left w:val="none" w:sz="0" w:space="0" w:color="auto"/>
                <w:bottom w:val="none" w:sz="0" w:space="0" w:color="auto"/>
                <w:right w:val="none" w:sz="0" w:space="0" w:color="auto"/>
              </w:divBdr>
            </w:div>
          </w:divsChild>
        </w:div>
        <w:div w:id="166019750">
          <w:marLeft w:val="0"/>
          <w:marRight w:val="0"/>
          <w:marTop w:val="0"/>
          <w:marBottom w:val="0"/>
          <w:divBdr>
            <w:top w:val="none" w:sz="0" w:space="0" w:color="auto"/>
            <w:left w:val="none" w:sz="0" w:space="0" w:color="auto"/>
            <w:bottom w:val="none" w:sz="0" w:space="0" w:color="auto"/>
            <w:right w:val="none" w:sz="0" w:space="0" w:color="auto"/>
          </w:divBdr>
          <w:divsChild>
            <w:div w:id="1108350644">
              <w:marLeft w:val="0"/>
              <w:marRight w:val="0"/>
              <w:marTop w:val="0"/>
              <w:marBottom w:val="0"/>
              <w:divBdr>
                <w:top w:val="none" w:sz="0" w:space="0" w:color="auto"/>
                <w:left w:val="none" w:sz="0" w:space="0" w:color="auto"/>
                <w:bottom w:val="none" w:sz="0" w:space="0" w:color="auto"/>
                <w:right w:val="none" w:sz="0" w:space="0" w:color="auto"/>
              </w:divBdr>
            </w:div>
          </w:divsChild>
        </w:div>
        <w:div w:id="1860849077">
          <w:marLeft w:val="0"/>
          <w:marRight w:val="0"/>
          <w:marTop w:val="0"/>
          <w:marBottom w:val="0"/>
          <w:divBdr>
            <w:top w:val="none" w:sz="0" w:space="0" w:color="auto"/>
            <w:left w:val="none" w:sz="0" w:space="0" w:color="auto"/>
            <w:bottom w:val="none" w:sz="0" w:space="0" w:color="auto"/>
            <w:right w:val="none" w:sz="0" w:space="0" w:color="auto"/>
          </w:divBdr>
          <w:divsChild>
            <w:div w:id="2005820606">
              <w:marLeft w:val="0"/>
              <w:marRight w:val="0"/>
              <w:marTop w:val="0"/>
              <w:marBottom w:val="0"/>
              <w:divBdr>
                <w:top w:val="none" w:sz="0" w:space="0" w:color="auto"/>
                <w:left w:val="none" w:sz="0" w:space="0" w:color="auto"/>
                <w:bottom w:val="none" w:sz="0" w:space="0" w:color="auto"/>
                <w:right w:val="none" w:sz="0" w:space="0" w:color="auto"/>
              </w:divBdr>
            </w:div>
          </w:divsChild>
        </w:div>
        <w:div w:id="817695667">
          <w:marLeft w:val="0"/>
          <w:marRight w:val="0"/>
          <w:marTop w:val="0"/>
          <w:marBottom w:val="0"/>
          <w:divBdr>
            <w:top w:val="none" w:sz="0" w:space="0" w:color="auto"/>
            <w:left w:val="none" w:sz="0" w:space="0" w:color="auto"/>
            <w:bottom w:val="none" w:sz="0" w:space="0" w:color="auto"/>
            <w:right w:val="none" w:sz="0" w:space="0" w:color="auto"/>
          </w:divBdr>
          <w:divsChild>
            <w:div w:id="1146629611">
              <w:marLeft w:val="0"/>
              <w:marRight w:val="0"/>
              <w:marTop w:val="0"/>
              <w:marBottom w:val="0"/>
              <w:divBdr>
                <w:top w:val="none" w:sz="0" w:space="0" w:color="auto"/>
                <w:left w:val="none" w:sz="0" w:space="0" w:color="auto"/>
                <w:bottom w:val="none" w:sz="0" w:space="0" w:color="auto"/>
                <w:right w:val="none" w:sz="0" w:space="0" w:color="auto"/>
              </w:divBdr>
            </w:div>
          </w:divsChild>
        </w:div>
        <w:div w:id="1852379555">
          <w:marLeft w:val="0"/>
          <w:marRight w:val="0"/>
          <w:marTop w:val="0"/>
          <w:marBottom w:val="0"/>
          <w:divBdr>
            <w:top w:val="none" w:sz="0" w:space="0" w:color="auto"/>
            <w:left w:val="none" w:sz="0" w:space="0" w:color="auto"/>
            <w:bottom w:val="none" w:sz="0" w:space="0" w:color="auto"/>
            <w:right w:val="none" w:sz="0" w:space="0" w:color="auto"/>
          </w:divBdr>
          <w:divsChild>
            <w:div w:id="1646079422">
              <w:marLeft w:val="0"/>
              <w:marRight w:val="0"/>
              <w:marTop w:val="0"/>
              <w:marBottom w:val="0"/>
              <w:divBdr>
                <w:top w:val="none" w:sz="0" w:space="0" w:color="auto"/>
                <w:left w:val="none" w:sz="0" w:space="0" w:color="auto"/>
                <w:bottom w:val="none" w:sz="0" w:space="0" w:color="auto"/>
                <w:right w:val="none" w:sz="0" w:space="0" w:color="auto"/>
              </w:divBdr>
            </w:div>
          </w:divsChild>
        </w:div>
        <w:div w:id="2090810191">
          <w:marLeft w:val="0"/>
          <w:marRight w:val="0"/>
          <w:marTop w:val="0"/>
          <w:marBottom w:val="0"/>
          <w:divBdr>
            <w:top w:val="none" w:sz="0" w:space="0" w:color="auto"/>
            <w:left w:val="none" w:sz="0" w:space="0" w:color="auto"/>
            <w:bottom w:val="none" w:sz="0" w:space="0" w:color="auto"/>
            <w:right w:val="none" w:sz="0" w:space="0" w:color="auto"/>
          </w:divBdr>
          <w:divsChild>
            <w:div w:id="88926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96135">
      <w:bodyDiv w:val="1"/>
      <w:marLeft w:val="0"/>
      <w:marRight w:val="0"/>
      <w:marTop w:val="0"/>
      <w:marBottom w:val="0"/>
      <w:divBdr>
        <w:top w:val="none" w:sz="0" w:space="0" w:color="auto"/>
        <w:left w:val="none" w:sz="0" w:space="0" w:color="auto"/>
        <w:bottom w:val="none" w:sz="0" w:space="0" w:color="auto"/>
        <w:right w:val="none" w:sz="0" w:space="0" w:color="auto"/>
      </w:divBdr>
    </w:div>
    <w:div w:id="670838337">
      <w:bodyDiv w:val="1"/>
      <w:marLeft w:val="0"/>
      <w:marRight w:val="0"/>
      <w:marTop w:val="0"/>
      <w:marBottom w:val="0"/>
      <w:divBdr>
        <w:top w:val="none" w:sz="0" w:space="0" w:color="auto"/>
        <w:left w:val="none" w:sz="0" w:space="0" w:color="auto"/>
        <w:bottom w:val="none" w:sz="0" w:space="0" w:color="auto"/>
        <w:right w:val="none" w:sz="0" w:space="0" w:color="auto"/>
      </w:divBdr>
      <w:divsChild>
        <w:div w:id="760877334">
          <w:marLeft w:val="0"/>
          <w:marRight w:val="0"/>
          <w:marTop w:val="0"/>
          <w:marBottom w:val="0"/>
          <w:divBdr>
            <w:top w:val="none" w:sz="0" w:space="0" w:color="auto"/>
            <w:left w:val="none" w:sz="0" w:space="0" w:color="auto"/>
            <w:bottom w:val="none" w:sz="0" w:space="0" w:color="auto"/>
            <w:right w:val="none" w:sz="0" w:space="0" w:color="auto"/>
          </w:divBdr>
        </w:div>
      </w:divsChild>
    </w:div>
    <w:div w:id="777407860">
      <w:bodyDiv w:val="1"/>
      <w:marLeft w:val="0"/>
      <w:marRight w:val="0"/>
      <w:marTop w:val="0"/>
      <w:marBottom w:val="0"/>
      <w:divBdr>
        <w:top w:val="none" w:sz="0" w:space="0" w:color="auto"/>
        <w:left w:val="none" w:sz="0" w:space="0" w:color="auto"/>
        <w:bottom w:val="none" w:sz="0" w:space="0" w:color="auto"/>
        <w:right w:val="none" w:sz="0" w:space="0" w:color="auto"/>
      </w:divBdr>
    </w:div>
    <w:div w:id="1033071567">
      <w:bodyDiv w:val="1"/>
      <w:marLeft w:val="0"/>
      <w:marRight w:val="0"/>
      <w:marTop w:val="0"/>
      <w:marBottom w:val="0"/>
      <w:divBdr>
        <w:top w:val="none" w:sz="0" w:space="0" w:color="auto"/>
        <w:left w:val="none" w:sz="0" w:space="0" w:color="auto"/>
        <w:bottom w:val="none" w:sz="0" w:space="0" w:color="auto"/>
        <w:right w:val="none" w:sz="0" w:space="0" w:color="auto"/>
      </w:divBdr>
    </w:div>
    <w:div w:id="1076316483">
      <w:bodyDiv w:val="1"/>
      <w:marLeft w:val="0"/>
      <w:marRight w:val="0"/>
      <w:marTop w:val="0"/>
      <w:marBottom w:val="0"/>
      <w:divBdr>
        <w:top w:val="none" w:sz="0" w:space="0" w:color="auto"/>
        <w:left w:val="none" w:sz="0" w:space="0" w:color="auto"/>
        <w:bottom w:val="none" w:sz="0" w:space="0" w:color="auto"/>
        <w:right w:val="none" w:sz="0" w:space="0" w:color="auto"/>
      </w:divBdr>
      <w:divsChild>
        <w:div w:id="1320764351">
          <w:marLeft w:val="0"/>
          <w:marRight w:val="0"/>
          <w:marTop w:val="0"/>
          <w:marBottom w:val="0"/>
          <w:divBdr>
            <w:top w:val="none" w:sz="0" w:space="0" w:color="auto"/>
            <w:left w:val="none" w:sz="0" w:space="0" w:color="auto"/>
            <w:bottom w:val="none" w:sz="0" w:space="0" w:color="auto"/>
            <w:right w:val="none" w:sz="0" w:space="0" w:color="auto"/>
          </w:divBdr>
        </w:div>
        <w:div w:id="105736905">
          <w:marLeft w:val="0"/>
          <w:marRight w:val="0"/>
          <w:marTop w:val="0"/>
          <w:marBottom w:val="0"/>
          <w:divBdr>
            <w:top w:val="none" w:sz="0" w:space="0" w:color="auto"/>
            <w:left w:val="none" w:sz="0" w:space="0" w:color="auto"/>
            <w:bottom w:val="none" w:sz="0" w:space="0" w:color="auto"/>
            <w:right w:val="none" w:sz="0" w:space="0" w:color="auto"/>
          </w:divBdr>
        </w:div>
      </w:divsChild>
    </w:div>
    <w:div w:id="1078789418">
      <w:bodyDiv w:val="1"/>
      <w:marLeft w:val="0"/>
      <w:marRight w:val="0"/>
      <w:marTop w:val="0"/>
      <w:marBottom w:val="0"/>
      <w:divBdr>
        <w:top w:val="none" w:sz="0" w:space="0" w:color="auto"/>
        <w:left w:val="none" w:sz="0" w:space="0" w:color="auto"/>
        <w:bottom w:val="none" w:sz="0" w:space="0" w:color="auto"/>
        <w:right w:val="none" w:sz="0" w:space="0" w:color="auto"/>
      </w:divBdr>
      <w:divsChild>
        <w:div w:id="1010334183">
          <w:marLeft w:val="0"/>
          <w:marRight w:val="0"/>
          <w:marTop w:val="0"/>
          <w:marBottom w:val="0"/>
          <w:divBdr>
            <w:top w:val="none" w:sz="0" w:space="0" w:color="auto"/>
            <w:left w:val="none" w:sz="0" w:space="0" w:color="auto"/>
            <w:bottom w:val="none" w:sz="0" w:space="0" w:color="auto"/>
            <w:right w:val="none" w:sz="0" w:space="0" w:color="auto"/>
          </w:divBdr>
        </w:div>
      </w:divsChild>
    </w:div>
    <w:div w:id="1115710357">
      <w:bodyDiv w:val="1"/>
      <w:marLeft w:val="0"/>
      <w:marRight w:val="0"/>
      <w:marTop w:val="0"/>
      <w:marBottom w:val="0"/>
      <w:divBdr>
        <w:top w:val="none" w:sz="0" w:space="0" w:color="auto"/>
        <w:left w:val="none" w:sz="0" w:space="0" w:color="auto"/>
        <w:bottom w:val="none" w:sz="0" w:space="0" w:color="auto"/>
        <w:right w:val="none" w:sz="0" w:space="0" w:color="auto"/>
      </w:divBdr>
    </w:div>
    <w:div w:id="1406805112">
      <w:bodyDiv w:val="1"/>
      <w:marLeft w:val="0"/>
      <w:marRight w:val="0"/>
      <w:marTop w:val="0"/>
      <w:marBottom w:val="0"/>
      <w:divBdr>
        <w:top w:val="none" w:sz="0" w:space="0" w:color="auto"/>
        <w:left w:val="none" w:sz="0" w:space="0" w:color="auto"/>
        <w:bottom w:val="none" w:sz="0" w:space="0" w:color="auto"/>
        <w:right w:val="none" w:sz="0" w:space="0" w:color="auto"/>
      </w:divBdr>
      <w:divsChild>
        <w:div w:id="1548832846">
          <w:marLeft w:val="0"/>
          <w:marRight w:val="0"/>
          <w:marTop w:val="0"/>
          <w:marBottom w:val="0"/>
          <w:divBdr>
            <w:top w:val="none" w:sz="0" w:space="0" w:color="auto"/>
            <w:left w:val="none" w:sz="0" w:space="0" w:color="auto"/>
            <w:bottom w:val="none" w:sz="0" w:space="0" w:color="auto"/>
            <w:right w:val="none" w:sz="0" w:space="0" w:color="auto"/>
          </w:divBdr>
        </w:div>
        <w:div w:id="1478302321">
          <w:marLeft w:val="0"/>
          <w:marRight w:val="0"/>
          <w:marTop w:val="0"/>
          <w:marBottom w:val="0"/>
          <w:divBdr>
            <w:top w:val="none" w:sz="0" w:space="0" w:color="auto"/>
            <w:left w:val="none" w:sz="0" w:space="0" w:color="auto"/>
            <w:bottom w:val="none" w:sz="0" w:space="0" w:color="auto"/>
            <w:right w:val="none" w:sz="0" w:space="0" w:color="auto"/>
          </w:divBdr>
        </w:div>
        <w:div w:id="1769227329">
          <w:marLeft w:val="0"/>
          <w:marRight w:val="0"/>
          <w:marTop w:val="0"/>
          <w:marBottom w:val="0"/>
          <w:divBdr>
            <w:top w:val="none" w:sz="0" w:space="0" w:color="auto"/>
            <w:left w:val="none" w:sz="0" w:space="0" w:color="auto"/>
            <w:bottom w:val="none" w:sz="0" w:space="0" w:color="auto"/>
            <w:right w:val="none" w:sz="0" w:space="0" w:color="auto"/>
          </w:divBdr>
        </w:div>
        <w:div w:id="190652789">
          <w:marLeft w:val="0"/>
          <w:marRight w:val="0"/>
          <w:marTop w:val="0"/>
          <w:marBottom w:val="0"/>
          <w:divBdr>
            <w:top w:val="none" w:sz="0" w:space="0" w:color="auto"/>
            <w:left w:val="none" w:sz="0" w:space="0" w:color="auto"/>
            <w:bottom w:val="none" w:sz="0" w:space="0" w:color="auto"/>
            <w:right w:val="none" w:sz="0" w:space="0" w:color="auto"/>
          </w:divBdr>
          <w:divsChild>
            <w:div w:id="442191738">
              <w:marLeft w:val="0"/>
              <w:marRight w:val="0"/>
              <w:marTop w:val="0"/>
              <w:marBottom w:val="0"/>
              <w:divBdr>
                <w:top w:val="none" w:sz="0" w:space="0" w:color="auto"/>
                <w:left w:val="none" w:sz="0" w:space="0" w:color="auto"/>
                <w:bottom w:val="none" w:sz="0" w:space="0" w:color="auto"/>
                <w:right w:val="none" w:sz="0" w:space="0" w:color="auto"/>
              </w:divBdr>
            </w:div>
          </w:divsChild>
        </w:div>
        <w:div w:id="82803993">
          <w:marLeft w:val="0"/>
          <w:marRight w:val="0"/>
          <w:marTop w:val="0"/>
          <w:marBottom w:val="0"/>
          <w:divBdr>
            <w:top w:val="none" w:sz="0" w:space="0" w:color="auto"/>
            <w:left w:val="none" w:sz="0" w:space="0" w:color="auto"/>
            <w:bottom w:val="none" w:sz="0" w:space="0" w:color="auto"/>
            <w:right w:val="none" w:sz="0" w:space="0" w:color="auto"/>
          </w:divBdr>
        </w:div>
      </w:divsChild>
    </w:div>
    <w:div w:id="1783111251">
      <w:bodyDiv w:val="1"/>
      <w:marLeft w:val="0"/>
      <w:marRight w:val="0"/>
      <w:marTop w:val="0"/>
      <w:marBottom w:val="0"/>
      <w:divBdr>
        <w:top w:val="none" w:sz="0" w:space="0" w:color="auto"/>
        <w:left w:val="none" w:sz="0" w:space="0" w:color="auto"/>
        <w:bottom w:val="none" w:sz="0" w:space="0" w:color="auto"/>
        <w:right w:val="none" w:sz="0" w:space="0" w:color="auto"/>
      </w:divBdr>
    </w:div>
    <w:div w:id="1794711167">
      <w:bodyDiv w:val="1"/>
      <w:marLeft w:val="0"/>
      <w:marRight w:val="0"/>
      <w:marTop w:val="0"/>
      <w:marBottom w:val="0"/>
      <w:divBdr>
        <w:top w:val="none" w:sz="0" w:space="0" w:color="auto"/>
        <w:left w:val="none" w:sz="0" w:space="0" w:color="auto"/>
        <w:bottom w:val="none" w:sz="0" w:space="0" w:color="auto"/>
        <w:right w:val="none" w:sz="0" w:space="0" w:color="auto"/>
      </w:divBdr>
    </w:div>
    <w:div w:id="1800151042">
      <w:bodyDiv w:val="1"/>
      <w:marLeft w:val="0"/>
      <w:marRight w:val="0"/>
      <w:marTop w:val="0"/>
      <w:marBottom w:val="0"/>
      <w:divBdr>
        <w:top w:val="none" w:sz="0" w:space="0" w:color="auto"/>
        <w:left w:val="none" w:sz="0" w:space="0" w:color="auto"/>
        <w:bottom w:val="none" w:sz="0" w:space="0" w:color="auto"/>
        <w:right w:val="none" w:sz="0" w:space="0" w:color="auto"/>
      </w:divBdr>
    </w:div>
    <w:div w:id="1826239605">
      <w:bodyDiv w:val="1"/>
      <w:marLeft w:val="0"/>
      <w:marRight w:val="0"/>
      <w:marTop w:val="0"/>
      <w:marBottom w:val="0"/>
      <w:divBdr>
        <w:top w:val="none" w:sz="0" w:space="0" w:color="auto"/>
        <w:left w:val="none" w:sz="0" w:space="0" w:color="auto"/>
        <w:bottom w:val="none" w:sz="0" w:space="0" w:color="auto"/>
        <w:right w:val="none" w:sz="0" w:space="0" w:color="auto"/>
      </w:divBdr>
      <w:divsChild>
        <w:div w:id="1931812939">
          <w:marLeft w:val="0"/>
          <w:marRight w:val="0"/>
          <w:marTop w:val="0"/>
          <w:marBottom w:val="0"/>
          <w:divBdr>
            <w:top w:val="none" w:sz="0" w:space="0" w:color="auto"/>
            <w:left w:val="none" w:sz="0" w:space="0" w:color="auto"/>
            <w:bottom w:val="none" w:sz="0" w:space="0" w:color="auto"/>
            <w:right w:val="none" w:sz="0" w:space="0" w:color="auto"/>
          </w:divBdr>
        </w:div>
      </w:divsChild>
    </w:div>
    <w:div w:id="1960869845">
      <w:bodyDiv w:val="1"/>
      <w:marLeft w:val="0"/>
      <w:marRight w:val="0"/>
      <w:marTop w:val="0"/>
      <w:marBottom w:val="0"/>
      <w:divBdr>
        <w:top w:val="none" w:sz="0" w:space="0" w:color="auto"/>
        <w:left w:val="none" w:sz="0" w:space="0" w:color="auto"/>
        <w:bottom w:val="none" w:sz="0" w:space="0" w:color="auto"/>
        <w:right w:val="none" w:sz="0" w:space="0" w:color="auto"/>
      </w:divBdr>
      <w:divsChild>
        <w:div w:id="772163286">
          <w:marLeft w:val="0"/>
          <w:marRight w:val="0"/>
          <w:marTop w:val="0"/>
          <w:marBottom w:val="0"/>
          <w:divBdr>
            <w:top w:val="none" w:sz="0" w:space="0" w:color="auto"/>
            <w:left w:val="none" w:sz="0" w:space="0" w:color="auto"/>
            <w:bottom w:val="none" w:sz="0" w:space="0" w:color="auto"/>
            <w:right w:val="none" w:sz="0" w:space="0" w:color="auto"/>
          </w:divBdr>
        </w:div>
        <w:div w:id="802383663">
          <w:marLeft w:val="0"/>
          <w:marRight w:val="0"/>
          <w:marTop w:val="0"/>
          <w:marBottom w:val="0"/>
          <w:divBdr>
            <w:top w:val="none" w:sz="0" w:space="0" w:color="auto"/>
            <w:left w:val="none" w:sz="0" w:space="0" w:color="auto"/>
            <w:bottom w:val="none" w:sz="0" w:space="0" w:color="auto"/>
            <w:right w:val="none" w:sz="0" w:space="0" w:color="auto"/>
          </w:divBdr>
        </w:div>
        <w:div w:id="36662137">
          <w:marLeft w:val="0"/>
          <w:marRight w:val="0"/>
          <w:marTop w:val="0"/>
          <w:marBottom w:val="0"/>
          <w:divBdr>
            <w:top w:val="none" w:sz="0" w:space="0" w:color="auto"/>
            <w:left w:val="none" w:sz="0" w:space="0" w:color="auto"/>
            <w:bottom w:val="none" w:sz="0" w:space="0" w:color="auto"/>
            <w:right w:val="none" w:sz="0" w:space="0" w:color="auto"/>
          </w:divBdr>
        </w:div>
        <w:div w:id="540631999">
          <w:marLeft w:val="0"/>
          <w:marRight w:val="0"/>
          <w:marTop w:val="0"/>
          <w:marBottom w:val="0"/>
          <w:divBdr>
            <w:top w:val="none" w:sz="0" w:space="0" w:color="auto"/>
            <w:left w:val="none" w:sz="0" w:space="0" w:color="auto"/>
            <w:bottom w:val="none" w:sz="0" w:space="0" w:color="auto"/>
            <w:right w:val="none" w:sz="0" w:space="0" w:color="auto"/>
          </w:divBdr>
        </w:div>
        <w:div w:id="1154104268">
          <w:marLeft w:val="0"/>
          <w:marRight w:val="0"/>
          <w:marTop w:val="0"/>
          <w:marBottom w:val="0"/>
          <w:divBdr>
            <w:top w:val="none" w:sz="0" w:space="0" w:color="auto"/>
            <w:left w:val="none" w:sz="0" w:space="0" w:color="auto"/>
            <w:bottom w:val="none" w:sz="0" w:space="0" w:color="auto"/>
            <w:right w:val="none" w:sz="0" w:space="0" w:color="auto"/>
          </w:divBdr>
        </w:div>
        <w:div w:id="238253969">
          <w:marLeft w:val="0"/>
          <w:marRight w:val="0"/>
          <w:marTop w:val="0"/>
          <w:marBottom w:val="0"/>
          <w:divBdr>
            <w:top w:val="none" w:sz="0" w:space="0" w:color="auto"/>
            <w:left w:val="none" w:sz="0" w:space="0" w:color="auto"/>
            <w:bottom w:val="none" w:sz="0" w:space="0" w:color="auto"/>
            <w:right w:val="none" w:sz="0" w:space="0" w:color="auto"/>
          </w:divBdr>
        </w:div>
        <w:div w:id="870000947">
          <w:marLeft w:val="0"/>
          <w:marRight w:val="0"/>
          <w:marTop w:val="0"/>
          <w:marBottom w:val="0"/>
          <w:divBdr>
            <w:top w:val="none" w:sz="0" w:space="0" w:color="auto"/>
            <w:left w:val="none" w:sz="0" w:space="0" w:color="auto"/>
            <w:bottom w:val="none" w:sz="0" w:space="0" w:color="auto"/>
            <w:right w:val="none" w:sz="0" w:space="0" w:color="auto"/>
          </w:divBdr>
        </w:div>
        <w:div w:id="742921338">
          <w:marLeft w:val="0"/>
          <w:marRight w:val="0"/>
          <w:marTop w:val="0"/>
          <w:marBottom w:val="0"/>
          <w:divBdr>
            <w:top w:val="none" w:sz="0" w:space="0" w:color="auto"/>
            <w:left w:val="none" w:sz="0" w:space="0" w:color="auto"/>
            <w:bottom w:val="none" w:sz="0" w:space="0" w:color="auto"/>
            <w:right w:val="none" w:sz="0" w:space="0" w:color="auto"/>
          </w:divBdr>
        </w:div>
        <w:div w:id="189732016">
          <w:marLeft w:val="0"/>
          <w:marRight w:val="0"/>
          <w:marTop w:val="0"/>
          <w:marBottom w:val="0"/>
          <w:divBdr>
            <w:top w:val="none" w:sz="0" w:space="0" w:color="auto"/>
            <w:left w:val="none" w:sz="0" w:space="0" w:color="auto"/>
            <w:bottom w:val="none" w:sz="0" w:space="0" w:color="auto"/>
            <w:right w:val="none" w:sz="0" w:space="0" w:color="auto"/>
          </w:divBdr>
        </w:div>
        <w:div w:id="1006132742">
          <w:marLeft w:val="0"/>
          <w:marRight w:val="0"/>
          <w:marTop w:val="0"/>
          <w:marBottom w:val="0"/>
          <w:divBdr>
            <w:top w:val="none" w:sz="0" w:space="0" w:color="auto"/>
            <w:left w:val="none" w:sz="0" w:space="0" w:color="auto"/>
            <w:bottom w:val="none" w:sz="0" w:space="0" w:color="auto"/>
            <w:right w:val="none" w:sz="0" w:space="0" w:color="auto"/>
          </w:divBdr>
        </w:div>
        <w:div w:id="689137584">
          <w:marLeft w:val="0"/>
          <w:marRight w:val="0"/>
          <w:marTop w:val="0"/>
          <w:marBottom w:val="0"/>
          <w:divBdr>
            <w:top w:val="none" w:sz="0" w:space="0" w:color="auto"/>
            <w:left w:val="none" w:sz="0" w:space="0" w:color="auto"/>
            <w:bottom w:val="none" w:sz="0" w:space="0" w:color="auto"/>
            <w:right w:val="none" w:sz="0" w:space="0" w:color="auto"/>
          </w:divBdr>
        </w:div>
        <w:div w:id="1810895721">
          <w:marLeft w:val="0"/>
          <w:marRight w:val="0"/>
          <w:marTop w:val="0"/>
          <w:marBottom w:val="0"/>
          <w:divBdr>
            <w:top w:val="none" w:sz="0" w:space="0" w:color="auto"/>
            <w:left w:val="none" w:sz="0" w:space="0" w:color="auto"/>
            <w:bottom w:val="none" w:sz="0" w:space="0" w:color="auto"/>
            <w:right w:val="none" w:sz="0" w:space="0" w:color="auto"/>
          </w:divBdr>
        </w:div>
        <w:div w:id="1049576036">
          <w:marLeft w:val="0"/>
          <w:marRight w:val="0"/>
          <w:marTop w:val="0"/>
          <w:marBottom w:val="0"/>
          <w:divBdr>
            <w:top w:val="none" w:sz="0" w:space="0" w:color="auto"/>
            <w:left w:val="none" w:sz="0" w:space="0" w:color="auto"/>
            <w:bottom w:val="none" w:sz="0" w:space="0" w:color="auto"/>
            <w:right w:val="none" w:sz="0" w:space="0" w:color="auto"/>
          </w:divBdr>
        </w:div>
        <w:div w:id="312947912">
          <w:marLeft w:val="0"/>
          <w:marRight w:val="0"/>
          <w:marTop w:val="0"/>
          <w:marBottom w:val="0"/>
          <w:divBdr>
            <w:top w:val="none" w:sz="0" w:space="0" w:color="auto"/>
            <w:left w:val="none" w:sz="0" w:space="0" w:color="auto"/>
            <w:bottom w:val="none" w:sz="0" w:space="0" w:color="auto"/>
            <w:right w:val="none" w:sz="0" w:space="0" w:color="auto"/>
          </w:divBdr>
        </w:div>
        <w:div w:id="1706254791">
          <w:marLeft w:val="0"/>
          <w:marRight w:val="0"/>
          <w:marTop w:val="0"/>
          <w:marBottom w:val="0"/>
          <w:divBdr>
            <w:top w:val="none" w:sz="0" w:space="0" w:color="auto"/>
            <w:left w:val="none" w:sz="0" w:space="0" w:color="auto"/>
            <w:bottom w:val="none" w:sz="0" w:space="0" w:color="auto"/>
            <w:right w:val="none" w:sz="0" w:space="0" w:color="auto"/>
          </w:divBdr>
        </w:div>
        <w:div w:id="839320164">
          <w:marLeft w:val="0"/>
          <w:marRight w:val="0"/>
          <w:marTop w:val="0"/>
          <w:marBottom w:val="0"/>
          <w:divBdr>
            <w:top w:val="none" w:sz="0" w:space="0" w:color="auto"/>
            <w:left w:val="none" w:sz="0" w:space="0" w:color="auto"/>
            <w:bottom w:val="none" w:sz="0" w:space="0" w:color="auto"/>
            <w:right w:val="none" w:sz="0" w:space="0" w:color="auto"/>
          </w:divBdr>
        </w:div>
        <w:div w:id="1291085443">
          <w:marLeft w:val="0"/>
          <w:marRight w:val="0"/>
          <w:marTop w:val="0"/>
          <w:marBottom w:val="0"/>
          <w:divBdr>
            <w:top w:val="none" w:sz="0" w:space="0" w:color="auto"/>
            <w:left w:val="none" w:sz="0" w:space="0" w:color="auto"/>
            <w:bottom w:val="none" w:sz="0" w:space="0" w:color="auto"/>
            <w:right w:val="none" w:sz="0" w:space="0" w:color="auto"/>
          </w:divBdr>
        </w:div>
        <w:div w:id="1270820888">
          <w:marLeft w:val="0"/>
          <w:marRight w:val="0"/>
          <w:marTop w:val="0"/>
          <w:marBottom w:val="0"/>
          <w:divBdr>
            <w:top w:val="none" w:sz="0" w:space="0" w:color="auto"/>
            <w:left w:val="none" w:sz="0" w:space="0" w:color="auto"/>
            <w:bottom w:val="none" w:sz="0" w:space="0" w:color="auto"/>
            <w:right w:val="none" w:sz="0" w:space="0" w:color="auto"/>
          </w:divBdr>
        </w:div>
        <w:div w:id="807432391">
          <w:marLeft w:val="0"/>
          <w:marRight w:val="0"/>
          <w:marTop w:val="0"/>
          <w:marBottom w:val="0"/>
          <w:divBdr>
            <w:top w:val="none" w:sz="0" w:space="0" w:color="auto"/>
            <w:left w:val="none" w:sz="0" w:space="0" w:color="auto"/>
            <w:bottom w:val="none" w:sz="0" w:space="0" w:color="auto"/>
            <w:right w:val="none" w:sz="0" w:space="0" w:color="auto"/>
          </w:divBdr>
        </w:div>
        <w:div w:id="807823765">
          <w:marLeft w:val="0"/>
          <w:marRight w:val="0"/>
          <w:marTop w:val="0"/>
          <w:marBottom w:val="0"/>
          <w:divBdr>
            <w:top w:val="none" w:sz="0" w:space="0" w:color="auto"/>
            <w:left w:val="none" w:sz="0" w:space="0" w:color="auto"/>
            <w:bottom w:val="none" w:sz="0" w:space="0" w:color="auto"/>
            <w:right w:val="none" w:sz="0" w:space="0" w:color="auto"/>
          </w:divBdr>
        </w:div>
        <w:div w:id="843513942">
          <w:marLeft w:val="0"/>
          <w:marRight w:val="0"/>
          <w:marTop w:val="0"/>
          <w:marBottom w:val="0"/>
          <w:divBdr>
            <w:top w:val="none" w:sz="0" w:space="0" w:color="auto"/>
            <w:left w:val="none" w:sz="0" w:space="0" w:color="auto"/>
            <w:bottom w:val="none" w:sz="0" w:space="0" w:color="auto"/>
            <w:right w:val="none" w:sz="0" w:space="0" w:color="auto"/>
          </w:divBdr>
        </w:div>
        <w:div w:id="1724329122">
          <w:marLeft w:val="0"/>
          <w:marRight w:val="0"/>
          <w:marTop w:val="0"/>
          <w:marBottom w:val="0"/>
          <w:divBdr>
            <w:top w:val="none" w:sz="0" w:space="0" w:color="auto"/>
            <w:left w:val="none" w:sz="0" w:space="0" w:color="auto"/>
            <w:bottom w:val="none" w:sz="0" w:space="0" w:color="auto"/>
            <w:right w:val="none" w:sz="0" w:space="0" w:color="auto"/>
          </w:divBdr>
        </w:div>
        <w:div w:id="1744060721">
          <w:marLeft w:val="0"/>
          <w:marRight w:val="0"/>
          <w:marTop w:val="0"/>
          <w:marBottom w:val="0"/>
          <w:divBdr>
            <w:top w:val="none" w:sz="0" w:space="0" w:color="auto"/>
            <w:left w:val="none" w:sz="0" w:space="0" w:color="auto"/>
            <w:bottom w:val="none" w:sz="0" w:space="0" w:color="auto"/>
            <w:right w:val="none" w:sz="0" w:space="0" w:color="auto"/>
          </w:divBdr>
        </w:div>
        <w:div w:id="162859957">
          <w:marLeft w:val="0"/>
          <w:marRight w:val="0"/>
          <w:marTop w:val="0"/>
          <w:marBottom w:val="0"/>
          <w:divBdr>
            <w:top w:val="none" w:sz="0" w:space="0" w:color="auto"/>
            <w:left w:val="none" w:sz="0" w:space="0" w:color="auto"/>
            <w:bottom w:val="none" w:sz="0" w:space="0" w:color="auto"/>
            <w:right w:val="none" w:sz="0" w:space="0" w:color="auto"/>
          </w:divBdr>
        </w:div>
        <w:div w:id="933124762">
          <w:marLeft w:val="0"/>
          <w:marRight w:val="0"/>
          <w:marTop w:val="0"/>
          <w:marBottom w:val="0"/>
          <w:divBdr>
            <w:top w:val="none" w:sz="0" w:space="0" w:color="auto"/>
            <w:left w:val="none" w:sz="0" w:space="0" w:color="auto"/>
            <w:bottom w:val="none" w:sz="0" w:space="0" w:color="auto"/>
            <w:right w:val="none" w:sz="0" w:space="0" w:color="auto"/>
          </w:divBdr>
        </w:div>
        <w:div w:id="1468737989">
          <w:marLeft w:val="0"/>
          <w:marRight w:val="0"/>
          <w:marTop w:val="0"/>
          <w:marBottom w:val="0"/>
          <w:divBdr>
            <w:top w:val="none" w:sz="0" w:space="0" w:color="auto"/>
            <w:left w:val="none" w:sz="0" w:space="0" w:color="auto"/>
            <w:bottom w:val="none" w:sz="0" w:space="0" w:color="auto"/>
            <w:right w:val="none" w:sz="0" w:space="0" w:color="auto"/>
          </w:divBdr>
        </w:div>
        <w:div w:id="1914655966">
          <w:marLeft w:val="0"/>
          <w:marRight w:val="0"/>
          <w:marTop w:val="0"/>
          <w:marBottom w:val="0"/>
          <w:divBdr>
            <w:top w:val="none" w:sz="0" w:space="0" w:color="auto"/>
            <w:left w:val="none" w:sz="0" w:space="0" w:color="auto"/>
            <w:bottom w:val="none" w:sz="0" w:space="0" w:color="auto"/>
            <w:right w:val="none" w:sz="0" w:space="0" w:color="auto"/>
          </w:divBdr>
        </w:div>
        <w:div w:id="1843739490">
          <w:marLeft w:val="0"/>
          <w:marRight w:val="0"/>
          <w:marTop w:val="0"/>
          <w:marBottom w:val="0"/>
          <w:divBdr>
            <w:top w:val="none" w:sz="0" w:space="0" w:color="auto"/>
            <w:left w:val="none" w:sz="0" w:space="0" w:color="auto"/>
            <w:bottom w:val="none" w:sz="0" w:space="0" w:color="auto"/>
            <w:right w:val="none" w:sz="0" w:space="0" w:color="auto"/>
          </w:divBdr>
        </w:div>
        <w:div w:id="1018233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hyperlink" Target="https://www.bundespublikationen.admin.ch/cshop_mimes_bbl/2C/2C59E545D7371ED5BB894DA98FF8F637.pdf" TargetMode="External"/><Relationship Id="rId47" Type="http://schemas.openxmlformats.org/officeDocument/2006/relationships/hyperlink" Target="http://www.materialflows.net/visualisation-centre/" TargetMode="External"/><Relationship Id="rId63" Type="http://schemas.openxmlformats.org/officeDocument/2006/relationships/hyperlink" Target="https://eduscol.education.fr/sti/si-ens-paris-saclay/ressources_pedagogiques/les-chiffres-de-lenergie-reserves-et-ressources-en-energie-et-matieres-premieres-non-energetique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eduscol.education.fr/sti/si-ens-paris-saclay/ressources_pedagogiques/dossier-les-chiffres-de-lenergie" TargetMode="Externa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yperlink" Target="https://www.overshootday.org/newsroom/country-overshoot-days/" TargetMode="External"/><Relationship Id="rId37" Type="http://schemas.openxmlformats.org/officeDocument/2006/relationships/hyperlink" Target="https://www.largus.fr/actualite-automobile/voiture-moyenne-neuve-2018-son-evolution-depuis-1953-9833394.html" TargetMode="External"/><Relationship Id="rId40" Type="http://schemas.openxmlformats.org/officeDocument/2006/relationships/hyperlink" Target="https://www.energie-environnement.ch/le-saviez-vous/1506-seuls-certains-frigos-et-congelateurs-speciaux-fonctionnent-bien-dans-le-froid" TargetMode="External"/><Relationship Id="rId45" Type="http://schemas.openxmlformats.org/officeDocument/2006/relationships/hyperlink" Target="https://www.insee.fr/fr/statistiques/4193175" TargetMode="External"/><Relationship Id="rId53" Type="http://schemas.openxmlformats.org/officeDocument/2006/relationships/hyperlink" Target="https://www.environnement-magazine.fr/recyclage/article/2020/03/05/128195/collecte-des-deee-augmente-2019" TargetMode="External"/><Relationship Id="rId58" Type="http://schemas.openxmlformats.org/officeDocument/2006/relationships/hyperlink" Target="https://itrnews.com/articles/183846/smartphones-reconditionnes-ou-en-est-le-marche.html" TargetMode="External"/><Relationship Id="rId66" Type="http://schemas.openxmlformats.org/officeDocument/2006/relationships/hyperlink" Target="https://negawatt.org/IMG/pdf/sobriete-scenario-negawatt_brochure-12pages_web.pdf" TargetMode="External"/><Relationship Id="rId5" Type="http://schemas.openxmlformats.org/officeDocument/2006/relationships/webSettings" Target="webSettings.xml"/><Relationship Id="rId61" Type="http://schemas.openxmlformats.org/officeDocument/2006/relationships/hyperlink" Target="https://institutnr.org/votre-prochain-pc-sera-assurement-un-pc-reconditionne"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s://eduscol.education.fr/sti/si-ens-paris-saclay/ressources_pedagogiques/dossier-les-chiffres-de-lenergie" TargetMode="External"/><Relationship Id="rId35" Type="http://schemas.openxmlformats.org/officeDocument/2006/relationships/hyperlink" Target="https://www.ipcc.ch/site/assets/uploads/2018/05/ar4-wg1-ts-fr.pdf" TargetMode="External"/><Relationship Id="rId43" Type="http://schemas.openxmlformats.org/officeDocument/2006/relationships/hyperlink" Target="https://energie.choisir.com/article/4382/le-coupe-veille-une-solution-pour-reduire-sa-consommation-energetique" TargetMode="External"/><Relationship Id="rId48" Type="http://schemas.openxmlformats.org/officeDocument/2006/relationships/hyperlink" Target="https://eduscol.education.fr/sti/si-ens-paris-saclay/ressources_pedagogiques/concepts-chiffres-energie-conversion-denergie-et-analyse-sur-cycle-de-vie" TargetMode="External"/><Relationship Id="rId56" Type="http://schemas.openxmlformats.org/officeDocument/2006/relationships/hyperlink" Target="https://www.quechoisir.org/actualite-antigaspillage-l-indice-de-reparabilite-des-appareils-se-precise-n81579/" TargetMode="External"/><Relationship Id="rId64" Type="http://schemas.openxmlformats.org/officeDocument/2006/relationships/hyperlink" Target="https://www.sciencedirect.com/science/article/pii/S1364032121000769?via%3Dihub"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aubord-recyclage.fr/recyclage-metaux-ferreux-non-ferreux/"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pourlascience.fr/sd/prehistoire/homo-sapiens-la-plus-invasive-des-especes-9455.php" TargetMode="External"/><Relationship Id="rId38" Type="http://schemas.openxmlformats.org/officeDocument/2006/relationships/hyperlink" Target="https://cel.archives-ouvertes.fr/cel-01246815v2/document" TargetMode="External"/><Relationship Id="rId46" Type="http://schemas.openxmlformats.org/officeDocument/2006/relationships/hyperlink" Target="https://www.ecoconso.be/fr/content/les-appareils-en-veille-ca-consomme-et-ca-coute-cher" TargetMode="External"/><Relationship Id="rId59" Type="http://schemas.openxmlformats.org/officeDocument/2006/relationships/hyperlink" Target="https://www.recommerce-group.com/barometre-annuel-recommerce-2020-par-kantar-tns-communique-de-presse/" TargetMode="External"/><Relationship Id="rId67" Type="http://schemas.openxmlformats.org/officeDocument/2006/relationships/hyperlink" Target="https://eduscol.education.fr/sti/si-ens-paris-saclay" TargetMode="External"/><Relationship Id="rId20" Type="http://schemas.openxmlformats.org/officeDocument/2006/relationships/image" Target="media/image12.png"/><Relationship Id="rId41" Type="http://schemas.openxmlformats.org/officeDocument/2006/relationships/hyperlink" Target="https://www.camif.fr/electromenager-et-chauffage/gros-electromenager/refrigerateurs.html?fh_location=/wac_atech00229_type_refrigerateur%3E%7B15243%3B12168%7D" TargetMode="External"/><Relationship Id="rId54" Type="http://schemas.openxmlformats.org/officeDocument/2006/relationships/hyperlink" Target="https://www.ecosystem.eco/fr/article/resultats" TargetMode="External"/><Relationship Id="rId62" Type="http://schemas.openxmlformats.org/officeDocument/2006/relationships/hyperlink" Target="https://theconversation.com/la-demande-energetique-mondiale-est-sous-estimee-et-cest-un-vrai-probleme-pour-le-climat-15804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hyperlink" Target="https://eduscol.education.fr/sti/si-ens-paris-saclay/ressources_pedagogiques/conversion-denergie-et-efficacite-energetique" TargetMode="External"/><Relationship Id="rId49" Type="http://schemas.openxmlformats.org/officeDocument/2006/relationships/hyperlink" Target="https://www.ademe.fr/sites/default/files/assets/documents/bilan_recyclage_en_france_lessentiel2017_010994.pdf" TargetMode="External"/><Relationship Id="rId57" Type="http://schemas.openxmlformats.org/officeDocument/2006/relationships/hyperlink" Target="https://www.indicereparabilite.fr/" TargetMode="External"/><Relationship Id="rId10" Type="http://schemas.openxmlformats.org/officeDocument/2006/relationships/hyperlink" Target="http://culturesciencesphysique.ens-lyon.fr/" TargetMode="External"/><Relationship Id="rId31" Type="http://schemas.openxmlformats.org/officeDocument/2006/relationships/hyperlink" Target="https://www.footprintnetwork.org/" TargetMode="External"/><Relationship Id="rId44" Type="http://schemas.openxmlformats.org/officeDocument/2006/relationships/hyperlink" Target="https://www.pourlascience.fr/sd/environnement/le-vrai-cout-energetique-du-numerique-20490.php" TargetMode="External"/><Relationship Id="rId52" Type="http://schemas.openxmlformats.org/officeDocument/2006/relationships/hyperlink" Target="https://www.pyrotek.com/nos-solutions/plomb/index?Locale=fr_FR" TargetMode="External"/><Relationship Id="rId60" Type="http://schemas.openxmlformats.org/officeDocument/2006/relationships/hyperlink" Target="https://publications.jrc.ec.europa.eu/repository/bitstream/JRC105156/20180115_-_jrc_technical_report_online_v02.pdf" TargetMode="External"/><Relationship Id="rId65" Type="http://schemas.openxmlformats.org/officeDocument/2006/relationships/hyperlink" Target="https://decrypterlenergie.org/nos-consommations-delectricite-domestique-vont-elles-croitre-inexorablemen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www.larevuedelenergie.com/la-sobriete-energetique-une-notion-disruptive-de-plus-en-plus-etudiee/" TargetMode="External"/><Relationship Id="rId34" Type="http://schemas.openxmlformats.org/officeDocument/2006/relationships/hyperlink" Target="https://www.futura-sciences.com/planete/actualites/zoologie-scientifiques-lancent-cri-alarme-disparition-especes-accelere-58704/" TargetMode="External"/><Relationship Id="rId50" Type="http://schemas.openxmlformats.org/officeDocument/2006/relationships/hyperlink" Target="https://www.actu-environnement.com/media/pdf/news-35407-chiffres-cles-dechets-2019.pdf" TargetMode="External"/><Relationship Id="rId55" Type="http://schemas.openxmlformats.org/officeDocument/2006/relationships/hyperlink" Target="http://www.consultations-publiques.developpement-durable.gouv.fr/indice-de-reparabilite-pour-les-produits-a2178.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ecoco2.com/blog/etiquettes-energie-des-changements-au-1er-mars-2021/" TargetMode="External"/><Relationship Id="rId1" Type="http://schemas.openxmlformats.org/officeDocument/2006/relationships/hyperlink" Target="https://www.footprintcalculator.org/" TargetMode="External"/></Relationships>
</file>

<file path=word/theme/theme1.xml><?xml version="1.0" encoding="utf-8"?>
<a:theme xmlns:a="http://schemas.openxmlformats.org/drawingml/2006/main" name="Thème Office">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21</b:Tag>
    <b:SourceType>Misc</b:SourceType>
    <b:Guid>{31C5FCE9-8C68-489F-A41C-03C3769C639F}</b:Guid>
    <b:Author>
      <b:Author>
        <b:NameList>
          <b:Person>
            <b:Last>2</b:Last>
          </b:Person>
        </b:NameList>
      </b:Author>
    </b:Author>
    <b:RefOrder>1</b:RefOrder>
  </b:Source>
  <b:Source>
    <b:Tag>31</b:Tag>
    <b:SourceType>Misc</b:SourceType>
    <b:Guid>{A4EDB8C8-AD36-4FC2-88D9-4CE85ADCCE85}</b:Guid>
    <b:Author>
      <b:Author>
        <b:NameList>
          <b:Person>
            <b:Last>3</b:Last>
          </b:Person>
        </b:NameList>
      </b:Author>
    </b:Author>
  </b:Source>
</b:Sources>
</file>

<file path=customXml/itemProps1.xml><?xml version="1.0" encoding="utf-8"?>
<ds:datastoreItem xmlns:ds="http://schemas.openxmlformats.org/officeDocument/2006/customXml" ds:itemID="{AA3380B4-44DF-4B53-81FB-8446AB41E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19</Pages>
  <Words>7940</Words>
  <Characters>43676</Characters>
  <Application>Microsoft Office Word</Application>
  <DocSecurity>0</DocSecurity>
  <Lines>363</Lines>
  <Paragraphs>103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51513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horsin</dc:creator>
  <cp:lastModifiedBy>Hélène HORSIN-MOLINARO</cp:lastModifiedBy>
  <cp:revision>14</cp:revision>
  <cp:lastPrinted>2021-05-03T07:11:00Z</cp:lastPrinted>
  <dcterms:created xsi:type="dcterms:W3CDTF">2021-04-07T07:57:00Z</dcterms:created>
  <dcterms:modified xsi:type="dcterms:W3CDTF">2021-05-03T07:15:00Z</dcterms:modified>
</cp:coreProperties>
</file>