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0" w:type="dxa"/>
        <w:tblInd w:w="-512" w:type="dxa"/>
        <w:tblBorders>
          <w:bottom w:val="single" w:sz="8" w:space="0" w:color="3891A7" w:themeColor="accent1"/>
        </w:tblBorders>
        <w:tblCellMar>
          <w:left w:w="70" w:type="dxa"/>
          <w:right w:w="70" w:type="dxa"/>
        </w:tblCellMar>
        <w:tblLook w:val="0000"/>
      </w:tblPr>
      <w:tblGrid>
        <w:gridCol w:w="7044"/>
        <w:gridCol w:w="2156"/>
        <w:gridCol w:w="1730"/>
      </w:tblGrid>
      <w:tr w:rsidR="00A15BEC" w:rsidRPr="00390467" w:rsidTr="00A15BEC">
        <w:trPr>
          <w:trHeight w:val="506"/>
        </w:trPr>
        <w:tc>
          <w:tcPr>
            <w:tcW w:w="7545" w:type="dxa"/>
            <w:vMerge w:val="restart"/>
          </w:tcPr>
          <w:p w:rsidR="00A15BEC" w:rsidRPr="00A90B70" w:rsidRDefault="00A15BEC" w:rsidP="00B01971">
            <w:pPr>
              <w:pStyle w:val="Titre"/>
              <w:spacing w:before="120" w:after="360"/>
              <w:ind w:right="-51"/>
              <w:jc w:val="center"/>
              <w:rPr>
                <w:noProof/>
                <w:lang w:eastAsia="fr-FR"/>
              </w:rPr>
            </w:pPr>
            <w:r>
              <w:rPr>
                <w:noProof/>
                <w:lang w:eastAsia="fr-FR"/>
              </w:rPr>
              <w:t>Pont suspendu : le Golden Gate Bridge</w:t>
            </w:r>
          </w:p>
          <w:p w:rsidR="00A15BEC" w:rsidRDefault="00A15BEC" w:rsidP="00B01971">
            <w:pPr>
              <w:spacing w:before="60" w:after="60" w:line="240" w:lineRule="auto"/>
              <w:jc w:val="center"/>
            </w:pPr>
            <w:r>
              <w:t>Sophie CAPDEVIELLE – Hélène HORSIN MOLINARO</w:t>
            </w:r>
          </w:p>
          <w:p w:rsidR="00A15BEC" w:rsidRPr="00390467" w:rsidRDefault="00A15BEC" w:rsidP="00B01971">
            <w:pPr>
              <w:spacing w:before="60" w:after="60" w:line="240" w:lineRule="auto"/>
              <w:jc w:val="center"/>
            </w:pPr>
            <w:r>
              <w:t>Quentin LAURENT</w:t>
            </w:r>
          </w:p>
        </w:tc>
        <w:tc>
          <w:tcPr>
            <w:tcW w:w="3385" w:type="dxa"/>
            <w:gridSpan w:val="2"/>
            <w:tcBorders>
              <w:bottom w:val="nil"/>
            </w:tcBorders>
          </w:tcPr>
          <w:p w:rsidR="00A15BEC" w:rsidRPr="00390467" w:rsidRDefault="00A15BEC" w:rsidP="00B01971">
            <w:pPr>
              <w:spacing w:before="120" w:after="60" w:line="240" w:lineRule="auto"/>
              <w:jc w:val="center"/>
            </w:pPr>
            <w:r w:rsidRPr="00A15BEC">
              <w:rPr>
                <w:noProof/>
                <w:lang w:eastAsia="fr-FR"/>
              </w:rPr>
              <w:drawing>
                <wp:inline distT="0" distB="0" distL="0" distR="0">
                  <wp:extent cx="1827530" cy="547370"/>
                  <wp:effectExtent l="19050" t="0" r="1270" b="0"/>
                  <wp:docPr id="20" name="Image 0" descr="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png"/>
                          <pic:cNvPicPr/>
                        </pic:nvPicPr>
                        <pic:blipFill>
                          <a:blip r:embed="rId8" cstate="print"/>
                          <a:stretch>
                            <a:fillRect/>
                          </a:stretch>
                        </pic:blipFill>
                        <pic:spPr>
                          <a:xfrm>
                            <a:off x="0" y="0"/>
                            <a:ext cx="1827530" cy="547370"/>
                          </a:xfrm>
                          <a:prstGeom prst="rect">
                            <a:avLst/>
                          </a:prstGeom>
                        </pic:spPr>
                      </pic:pic>
                    </a:graphicData>
                  </a:graphic>
                </wp:inline>
              </w:drawing>
            </w:r>
          </w:p>
        </w:tc>
      </w:tr>
      <w:tr w:rsidR="00A15BEC" w:rsidRPr="00390467" w:rsidTr="00B01971">
        <w:trPr>
          <w:trHeight w:val="940"/>
        </w:trPr>
        <w:tc>
          <w:tcPr>
            <w:tcW w:w="7545" w:type="dxa"/>
            <w:vMerge/>
          </w:tcPr>
          <w:p w:rsidR="00A15BEC" w:rsidRDefault="00A15BEC" w:rsidP="00A15BEC">
            <w:pPr>
              <w:pStyle w:val="Titre"/>
              <w:spacing w:after="360"/>
              <w:ind w:right="2948"/>
              <w:jc w:val="center"/>
              <w:rPr>
                <w:noProof/>
                <w:lang w:eastAsia="fr-FR"/>
              </w:rPr>
            </w:pPr>
          </w:p>
        </w:tc>
        <w:tc>
          <w:tcPr>
            <w:tcW w:w="2324" w:type="dxa"/>
            <w:tcBorders>
              <w:top w:val="nil"/>
              <w:bottom w:val="single" w:sz="8" w:space="0" w:color="3891A7" w:themeColor="accent1"/>
              <w:right w:val="nil"/>
            </w:tcBorders>
          </w:tcPr>
          <w:p w:rsidR="00A15BEC" w:rsidRDefault="00A15BEC" w:rsidP="00B01971">
            <w:pPr>
              <w:spacing w:before="480" w:after="0" w:line="240" w:lineRule="auto"/>
              <w:jc w:val="center"/>
            </w:pPr>
            <w:r>
              <w:t>É</w:t>
            </w:r>
            <w:r w:rsidRPr="00390467">
              <w:t xml:space="preserve">dité </w:t>
            </w:r>
            <w:r>
              <w:t>le</w:t>
            </w:r>
          </w:p>
          <w:p w:rsidR="00A15BEC" w:rsidRDefault="007355FB" w:rsidP="00CD28CB">
            <w:pPr>
              <w:spacing w:before="0" w:after="20" w:line="240" w:lineRule="auto"/>
              <w:jc w:val="center"/>
            </w:pPr>
            <w:r>
              <w:t>25</w:t>
            </w:r>
            <w:r w:rsidR="00A15BEC" w:rsidRPr="00390467">
              <w:t>/</w:t>
            </w:r>
            <w:r w:rsidR="00CD28CB">
              <w:t>03</w:t>
            </w:r>
            <w:r w:rsidR="00A15BEC" w:rsidRPr="00390467">
              <w:t>/</w:t>
            </w:r>
            <w:r w:rsidR="00A15BEC">
              <w:t>2019</w:t>
            </w:r>
          </w:p>
        </w:tc>
        <w:tc>
          <w:tcPr>
            <w:tcW w:w="1061" w:type="dxa"/>
            <w:tcBorders>
              <w:top w:val="nil"/>
              <w:left w:val="nil"/>
              <w:bottom w:val="single" w:sz="8" w:space="0" w:color="3891A7" w:themeColor="accent1"/>
            </w:tcBorders>
          </w:tcPr>
          <w:p w:rsidR="00A15BEC" w:rsidRDefault="00A15BEC" w:rsidP="00B01971">
            <w:pPr>
              <w:spacing w:after="20" w:line="240" w:lineRule="auto"/>
              <w:jc w:val="right"/>
            </w:pPr>
            <w:r w:rsidRPr="00A15BEC">
              <w:rPr>
                <w:noProof/>
                <w:lang w:eastAsia="fr-FR"/>
              </w:rPr>
              <w:drawing>
                <wp:inline distT="0" distB="0" distL="0" distR="0">
                  <wp:extent cx="988695" cy="442913"/>
                  <wp:effectExtent l="19050" t="0" r="1905" b="0"/>
                  <wp:docPr id="21"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9" cstate="print"/>
                          <a:stretch>
                            <a:fillRect/>
                          </a:stretch>
                        </pic:blipFill>
                        <pic:spPr>
                          <a:xfrm>
                            <a:off x="0" y="0"/>
                            <a:ext cx="988695" cy="442595"/>
                          </a:xfrm>
                          <a:prstGeom prst="rect">
                            <a:avLst/>
                          </a:prstGeom>
                        </pic:spPr>
                      </pic:pic>
                    </a:graphicData>
                  </a:graphic>
                </wp:inline>
              </w:drawing>
            </w:r>
          </w:p>
        </w:tc>
      </w:tr>
    </w:tbl>
    <w:p w:rsidR="00C73A8A" w:rsidRDefault="004411F4" w:rsidP="004411F4">
      <w:pPr>
        <w:rPr>
          <w:i/>
          <w:iCs/>
        </w:rPr>
      </w:pPr>
      <w:r>
        <w:rPr>
          <w:i/>
          <w:iCs/>
        </w:rPr>
        <w:t>Elève de l’ENS Paris-Saclay, Quentin Laurent, lors de sa première année en Sciences pour l’Ingénieur (année SAPHIRE) a suivi le parcours « Ingénierie civile ». Dans ce cadre les élèves ont, sur un thème imposé, à réaliser un état de l’art, un mémoire et à présenter une courte leçon. Cette ressource est issue</w:t>
      </w:r>
      <w:r w:rsidR="00EE0B57">
        <w:rPr>
          <w:i/>
          <w:iCs/>
        </w:rPr>
        <w:t xml:space="preserve"> de ce dossier.</w:t>
      </w:r>
    </w:p>
    <w:p w:rsidR="00EE0B57" w:rsidRDefault="00EE0B57" w:rsidP="00A15BEC">
      <w:pPr>
        <w:spacing w:before="360"/>
      </w:pPr>
      <w:r w:rsidRPr="00EE0B57">
        <w:t xml:space="preserve">Le Golden </w:t>
      </w:r>
      <w:proofErr w:type="spellStart"/>
      <w:r w:rsidRPr="00EE0B57">
        <w:t>Gate</w:t>
      </w:r>
      <w:proofErr w:type="spellEnd"/>
      <w:r w:rsidRPr="00EE0B57">
        <w:t xml:space="preserve"> Bridge est un pont métallique qui enjambe le détroit de Golden Gate : ce lieu de fortes marées, vents fréquents, brume et air salin se situe à seulement 11 km de la faille sismique de San Andréas et a été à l’origine de nombreux défis pour les constructeurs. Cet ouvrage d’art construit à partir de 1933 mesure 1</w:t>
      </w:r>
      <w:r>
        <w:t> </w:t>
      </w:r>
      <w:r w:rsidRPr="00EE0B57">
        <w:t>970 m de long et a une portée maximale de 1</w:t>
      </w:r>
      <w:r>
        <w:t> </w:t>
      </w:r>
      <w:r w:rsidRPr="00EE0B57">
        <w:t>280 m. Il est resté durant 27 ans le plus long pont suspendu au monde et demeure aujourd’hui encore le plus cé</w:t>
      </w:r>
      <w:r>
        <w:t>lèbre monument de San Francisco.</w:t>
      </w:r>
    </w:p>
    <w:p w:rsidR="00EE0B57" w:rsidRPr="00EE0B57" w:rsidRDefault="00B973F9" w:rsidP="009D516B">
      <w:pPr>
        <w:spacing w:before="120" w:after="0" w:line="240" w:lineRule="auto"/>
        <w:jc w:val="center"/>
      </w:pPr>
      <w:r>
        <w:rPr>
          <w:noProof/>
          <w:lang w:eastAsia="fr-FR"/>
        </w:rPr>
        <w:drawing>
          <wp:inline distT="0" distB="0" distL="0" distR="0">
            <wp:extent cx="6192520" cy="1849755"/>
            <wp:effectExtent l="19050" t="0" r="0" b="0"/>
            <wp:docPr id="5" name="Image 4" descr="Golden_Gate_Bridge_and_San_Francisco_skyline_from_Hawk_Hill_at_Blue_Hour_d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_Gate_Bridge_and_San_Francisco_skyline_from_Hawk_Hill_at_Blue_Hour_dllu.jpg"/>
                    <pic:cNvPicPr/>
                  </pic:nvPicPr>
                  <pic:blipFill>
                    <a:blip r:embed="rId10" cstate="print"/>
                    <a:stretch>
                      <a:fillRect/>
                    </a:stretch>
                  </pic:blipFill>
                  <pic:spPr>
                    <a:xfrm>
                      <a:off x="0" y="0"/>
                      <a:ext cx="6192520" cy="1849755"/>
                    </a:xfrm>
                    <a:prstGeom prst="rect">
                      <a:avLst/>
                    </a:prstGeom>
                  </pic:spPr>
                </pic:pic>
              </a:graphicData>
            </a:graphic>
          </wp:inline>
        </w:drawing>
      </w:r>
    </w:p>
    <w:p w:rsidR="00F21246" w:rsidRDefault="00E352E3" w:rsidP="00E352E3">
      <w:pPr>
        <w:pStyle w:val="Lgende"/>
      </w:pPr>
      <w:r w:rsidRPr="00E352E3">
        <w:t>Figure</w:t>
      </w:r>
      <w:r>
        <w:t xml:space="preserve"> </w:t>
      </w:r>
      <w:fldSimple w:instr=" SEQ Figure \* ARABIC ">
        <w:r w:rsidR="00B34EA9">
          <w:rPr>
            <w:noProof/>
          </w:rPr>
          <w:t>1</w:t>
        </w:r>
      </w:fldSimple>
      <w:r w:rsidR="00401540">
        <w:t xml:space="preserve"> </w:t>
      </w:r>
      <w:r w:rsidR="00F21246">
        <w:t xml:space="preserve">: </w:t>
      </w:r>
      <w:r w:rsidR="009D516B">
        <w:t xml:space="preserve">Le Golden </w:t>
      </w:r>
      <w:proofErr w:type="spellStart"/>
      <w:r w:rsidR="009D516B">
        <w:t>Gate</w:t>
      </w:r>
      <w:proofErr w:type="spellEnd"/>
      <w:r w:rsidR="009D516B">
        <w:t xml:space="preserve"> Bridge et San Francisco (Californie), source [1]</w:t>
      </w:r>
    </w:p>
    <w:p w:rsidR="001422FF" w:rsidRDefault="009D516B" w:rsidP="003B4228">
      <w:r w:rsidRPr="00EE0B57">
        <w:t xml:space="preserve">Cette </w:t>
      </w:r>
      <w:r>
        <w:t>ressource</w:t>
      </w:r>
      <w:r w:rsidRPr="00EE0B57">
        <w:t xml:space="preserve"> s’intéresse aux aspects historiques de cet édifice, à ses caractéristiques, </w:t>
      </w:r>
      <w:r w:rsidR="002D0948">
        <w:t>à la définition des charges qui s’exercent sur le pont et à l’équation des câbles porteurs. L</w:t>
      </w:r>
      <w:r w:rsidRPr="00EE0B57">
        <w:t xml:space="preserve">a construction </w:t>
      </w:r>
      <w:r w:rsidR="002D0948">
        <w:t xml:space="preserve">du pont </w:t>
      </w:r>
      <w:r w:rsidRPr="00EE0B57">
        <w:t>ainsi que son entretien jusqu’à aujourd’hui</w:t>
      </w:r>
      <w:r w:rsidR="002D0948">
        <w:t xml:space="preserve"> sont également décrits.</w:t>
      </w:r>
    </w:p>
    <w:p w:rsidR="00CE519D" w:rsidRDefault="00921CDC" w:rsidP="009D516B">
      <w:pPr>
        <w:pStyle w:val="Titre1"/>
      </w:pPr>
      <w:r>
        <w:t xml:space="preserve">1 </w:t>
      </w:r>
      <w:r w:rsidR="00294F7D">
        <w:t>–</w:t>
      </w:r>
      <w:r w:rsidR="00CE519D" w:rsidRPr="00294F7D">
        <w:t xml:space="preserve"> </w:t>
      </w:r>
      <w:r w:rsidR="00A15BEC">
        <w:t>Contexte historique</w:t>
      </w:r>
    </w:p>
    <w:p w:rsidR="00401540" w:rsidRPr="00401540" w:rsidRDefault="00401540" w:rsidP="00401540">
      <w:pPr>
        <w:pStyle w:val="Titre2"/>
      </w:pPr>
      <w:r w:rsidRPr="00401540">
        <w:t>1.1</w:t>
      </w:r>
      <w:r w:rsidR="005366E7">
        <w:t xml:space="preserve"> -</w:t>
      </w:r>
      <w:r w:rsidR="00AE5721">
        <w:t xml:space="preserve"> Un pont nécessaire</w:t>
      </w:r>
    </w:p>
    <w:p w:rsidR="00401540" w:rsidRPr="00401540" w:rsidRDefault="00401540" w:rsidP="00401540">
      <w:r w:rsidRPr="00401540">
        <w:t>Dès le début du XX</w:t>
      </w:r>
      <w:r w:rsidRPr="00072553">
        <w:rPr>
          <w:vertAlign w:val="superscript"/>
        </w:rPr>
        <w:t>e</w:t>
      </w:r>
      <w:r w:rsidRPr="00401540">
        <w:rPr>
          <w:sz w:val="14"/>
          <w:szCs w:val="14"/>
        </w:rPr>
        <w:t xml:space="preserve"> </w:t>
      </w:r>
      <w:r w:rsidRPr="00401540">
        <w:t xml:space="preserve">siècle, la Ville de San Francisco était en plein essor et avait besoin d’axes de communication pour augmenter ses capacités d’échange : le détroit de Golden </w:t>
      </w:r>
      <w:proofErr w:type="spellStart"/>
      <w:r w:rsidRPr="00401540">
        <w:t>Gate</w:t>
      </w:r>
      <w:proofErr w:type="spellEnd"/>
      <w:r w:rsidRPr="00401540">
        <w:t xml:space="preserve"> s’imposait alors comme un obstacle qui ne se franchissait qu’en bateau pour accéder au secteur nord comme le montre la </w:t>
      </w:r>
      <w:r>
        <w:t>figure 2</w:t>
      </w:r>
      <w:r w:rsidRPr="00401540">
        <w:t xml:space="preserve">. </w:t>
      </w:r>
    </w:p>
    <w:p w:rsidR="00921CDC" w:rsidRDefault="00401540" w:rsidP="00401540">
      <w:r w:rsidRPr="00401540">
        <w:t xml:space="preserve">C’est en 1916 qu’apparait pour la première fois l’idée d’un colossal projet : construire un pont traversant le Golden </w:t>
      </w:r>
      <w:proofErr w:type="spellStart"/>
      <w:r w:rsidRPr="00401540">
        <w:t>Gate</w:t>
      </w:r>
      <w:proofErr w:type="spellEnd"/>
      <w:r w:rsidRPr="00401540">
        <w:t xml:space="preserve"> et résistant aux nombreuses contraintes citées en introduction. Pour relever ce défi, Joseph Strauss, ingénieur spécialisé dans la construction de ponts à bascule proposa d’innover avec le pont suspendu le plus complexe et le plus long jamais construit à l’époque. Il réussit à remporter ce projet dont le coût total était de</w:t>
      </w:r>
      <w:r w:rsidR="00B973F9">
        <w:t xml:space="preserve"> plus de 25 millions de dollars.</w:t>
      </w:r>
    </w:p>
    <w:p w:rsidR="001422FF" w:rsidRDefault="008104AD" w:rsidP="005366E7">
      <w:pPr>
        <w:spacing w:before="120" w:after="0"/>
        <w:jc w:val="center"/>
      </w:pPr>
      <w:r>
        <w:rPr>
          <w:noProof/>
          <w:lang w:eastAsia="fr-FR"/>
        </w:rPr>
        <w:lastRenderedPageBreak/>
        <w:pict>
          <v:oval id="_x0000_s1026" style="position:absolute;left:0;text-align:left;margin-left:68.35pt;margin-top:32pt;width:45.6pt;height:45.6pt;z-index:251660288" filled="f" strokecolor="#3891a7 [3204]"/>
        </w:pict>
      </w:r>
      <w:r w:rsidR="005366E7">
        <w:rPr>
          <w:noProof/>
          <w:lang w:eastAsia="fr-FR"/>
        </w:rPr>
        <w:drawing>
          <wp:inline distT="0" distB="0" distL="0" distR="0">
            <wp:extent cx="1899773" cy="2321169"/>
            <wp:effectExtent l="19050" t="0" r="5227" b="0"/>
            <wp:docPr id="34" name="Image 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a:blip r:embed="rId11" cstate="print"/>
                    <a:srcRect/>
                    <a:stretch>
                      <a:fillRect/>
                    </a:stretch>
                  </pic:blipFill>
                  <pic:spPr bwMode="auto">
                    <a:xfrm>
                      <a:off x="0" y="0"/>
                      <a:ext cx="1900465" cy="2322015"/>
                    </a:xfrm>
                    <a:prstGeom prst="rect">
                      <a:avLst/>
                    </a:prstGeom>
                    <a:noFill/>
                    <a:ln w="9525">
                      <a:noFill/>
                      <a:miter lim="800000"/>
                      <a:headEnd/>
                      <a:tailEnd/>
                    </a:ln>
                  </pic:spPr>
                </pic:pic>
              </a:graphicData>
            </a:graphic>
          </wp:inline>
        </w:drawing>
      </w:r>
      <w:r w:rsidR="005366E7">
        <w:tab/>
      </w:r>
      <w:r w:rsidR="005366E7">
        <w:tab/>
      </w:r>
      <w:r w:rsidR="001A098F">
        <w:rPr>
          <w:noProof/>
          <w:lang w:eastAsia="fr-FR"/>
        </w:rPr>
        <w:drawing>
          <wp:inline distT="0" distB="0" distL="0" distR="0">
            <wp:extent cx="1547446" cy="2321169"/>
            <wp:effectExtent l="19050" t="0" r="0" b="0"/>
            <wp:docPr id="31" name="Image 31" descr="https://upload.wikimedia.org/wikipedia/commons/thumb/b/b5/Joseph_Strauss_Memorial.jpg/300px-Joseph_Strauss_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thumb/b/b5/Joseph_Strauss_Memorial.jpg/300px-Joseph_Strauss_Memorial.jpg"/>
                    <pic:cNvPicPr>
                      <a:picLocks noChangeAspect="1" noChangeArrowheads="1"/>
                    </pic:cNvPicPr>
                  </pic:nvPicPr>
                  <pic:blipFill>
                    <a:blip r:embed="rId12" cstate="print"/>
                    <a:srcRect/>
                    <a:stretch>
                      <a:fillRect/>
                    </a:stretch>
                  </pic:blipFill>
                  <pic:spPr bwMode="auto">
                    <a:xfrm>
                      <a:off x="0" y="0"/>
                      <a:ext cx="1552219" cy="2328328"/>
                    </a:xfrm>
                    <a:prstGeom prst="rect">
                      <a:avLst/>
                    </a:prstGeom>
                    <a:noFill/>
                    <a:ln w="9525">
                      <a:noFill/>
                      <a:miter lim="800000"/>
                      <a:headEnd/>
                      <a:tailEnd/>
                    </a:ln>
                  </pic:spPr>
                </pic:pic>
              </a:graphicData>
            </a:graphic>
          </wp:inline>
        </w:drawing>
      </w:r>
    </w:p>
    <w:p w:rsidR="005366E7" w:rsidRDefault="005366E7" w:rsidP="0017456C">
      <w:pPr>
        <w:pStyle w:val="Lgende"/>
        <w:sectPr w:rsidR="005366E7" w:rsidSect="006F7059">
          <w:footerReference w:type="default" r:id="rId13"/>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BC2CF5" w:rsidRDefault="00401540" w:rsidP="005366E7">
      <w:pPr>
        <w:pStyle w:val="Lgende"/>
        <w:ind w:left="284" w:right="-723"/>
      </w:pPr>
      <w:r>
        <w:lastRenderedPageBreak/>
        <w:t xml:space="preserve">Figure </w:t>
      </w:r>
      <w:fldSimple w:instr=" SEQ Figure \* ARABIC ">
        <w:r w:rsidR="00B34EA9">
          <w:rPr>
            <w:noProof/>
          </w:rPr>
          <w:t>2</w:t>
        </w:r>
      </w:fldSimple>
      <w:r>
        <w:t xml:space="preserve"> : </w:t>
      </w:r>
      <w:r w:rsidR="0017456C">
        <w:t>Ca</w:t>
      </w:r>
      <w:r>
        <w:t xml:space="preserve">rte de la zone de </w:t>
      </w:r>
      <w:r w:rsidRPr="0017456C">
        <w:t>San</w:t>
      </w:r>
      <w:r>
        <w:t xml:space="preserve"> Francisco</w:t>
      </w:r>
      <w:r w:rsidR="005366E7">
        <w:t>, source [2]</w:t>
      </w:r>
    </w:p>
    <w:p w:rsidR="005366E7" w:rsidRDefault="00401540" w:rsidP="001A098F">
      <w:pPr>
        <w:pStyle w:val="Lgende"/>
        <w:sectPr w:rsidR="005366E7" w:rsidSect="005366E7">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Figure </w:t>
      </w:r>
      <w:fldSimple w:instr=" SEQ Figure \* ARABIC ">
        <w:r w:rsidR="00B34EA9">
          <w:rPr>
            <w:noProof/>
          </w:rPr>
          <w:t>3</w:t>
        </w:r>
      </w:fldSimple>
      <w:r>
        <w:t xml:space="preserve"> </w:t>
      </w:r>
      <w:r w:rsidR="00E76B26">
        <w:t xml:space="preserve">: </w:t>
      </w:r>
      <w:r>
        <w:t xml:space="preserve">Statue commémorative de Joseph </w:t>
      </w:r>
      <w:proofErr w:type="spellStart"/>
      <w:r w:rsidR="001A098F">
        <w:t>Baermann</w:t>
      </w:r>
      <w:proofErr w:type="spellEnd"/>
      <w:r w:rsidR="001A098F">
        <w:t xml:space="preserve"> Strauss (1870-1938), source</w:t>
      </w:r>
      <w:r>
        <w:t xml:space="preserve"> </w:t>
      </w:r>
      <w:r w:rsidR="005366E7">
        <w:t>[3]</w:t>
      </w:r>
    </w:p>
    <w:p w:rsidR="0089342D" w:rsidRDefault="0017456C" w:rsidP="00514D5F">
      <w:pPr>
        <w:pStyle w:val="Titre2"/>
      </w:pPr>
      <w:r>
        <w:lastRenderedPageBreak/>
        <w:t xml:space="preserve">1.2 </w:t>
      </w:r>
      <w:r w:rsidR="0089342D">
        <w:t>–</w:t>
      </w:r>
      <w:r>
        <w:t xml:space="preserve"> </w:t>
      </w:r>
      <w:r w:rsidR="0089342D">
        <w:t>Les différents types de ponts</w:t>
      </w:r>
    </w:p>
    <w:p w:rsidR="00AD728D" w:rsidRPr="000940BB" w:rsidRDefault="00AD728D" w:rsidP="00AD728D">
      <w:r w:rsidRPr="000940BB">
        <w:t>Les ponts sont des ouvrages de liaison permettant de franchir des obstacles. Ils se composent d’un tablier reliant les piles et permettant le transit des charges sur celles-ci</w:t>
      </w:r>
      <w:r>
        <w:t>,</w:t>
      </w:r>
      <w:r w:rsidRPr="000940BB">
        <w:t xml:space="preserve"> de piles (éléments verticaux) qui amènent les charges au sol et de fondations. D’autres éléments viennent prendre place pour améliorer les caractéristiques de ces ouvrages comme des appareils d’appuis, des culées et des corniches. Pour certains types de ponts, des câbles, haubans ou arcs interviennent dans la transmission des charges</w:t>
      </w:r>
      <w:r>
        <w:t xml:space="preserve"> [</w:t>
      </w:r>
      <w:r w:rsidR="0031382B">
        <w:t>4</w:t>
      </w:r>
      <w:r>
        <w:t>] [</w:t>
      </w:r>
      <w:r w:rsidR="0031382B">
        <w:t>5</w:t>
      </w:r>
      <w:r>
        <w:t>]</w:t>
      </w:r>
      <w:r w:rsidRPr="000940BB">
        <w:t xml:space="preserve">. </w:t>
      </w:r>
    </w:p>
    <w:p w:rsidR="00AD728D" w:rsidRDefault="00AD728D" w:rsidP="00AD728D">
      <w:r w:rsidRPr="000940BB">
        <w:t>En fonction des époques, des lieux et des besoins, les ponts ont été construits avec différents matériaux (</w:t>
      </w:r>
      <w:r>
        <w:t>figure 4</w:t>
      </w:r>
      <w:r w:rsidRPr="000940BB">
        <w:t>) et suivant différentes architectures (</w:t>
      </w:r>
      <w:r>
        <w:t>figure 5</w:t>
      </w:r>
      <w:r w:rsidRPr="000940BB">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2"/>
        <w:gridCol w:w="5106"/>
      </w:tblGrid>
      <w:tr w:rsidR="00AD728D" w:rsidTr="00EE413E">
        <w:tc>
          <w:tcPr>
            <w:tcW w:w="4984" w:type="dxa"/>
          </w:tcPr>
          <w:p w:rsidR="00AD728D" w:rsidRDefault="00AD728D" w:rsidP="00EE413E">
            <w:pPr>
              <w:pStyle w:val="Sansinterligne"/>
            </w:pPr>
            <w:r>
              <w:rPr>
                <w:noProof/>
                <w:lang w:eastAsia="fr-FR"/>
              </w:rPr>
              <w:drawing>
                <wp:inline distT="0" distB="0" distL="0" distR="0">
                  <wp:extent cx="2857500" cy="1738176"/>
                  <wp:effectExtent l="19050" t="0" r="0" b="0"/>
                  <wp:docPr id="7" name="Image 37" descr="Kappel brucke luc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pel brucke lucerne.png"/>
                          <pic:cNvPicPr/>
                        </pic:nvPicPr>
                        <pic:blipFill>
                          <a:blip r:embed="rId14" cstate="print"/>
                          <a:stretch>
                            <a:fillRect/>
                          </a:stretch>
                        </pic:blipFill>
                        <pic:spPr>
                          <a:xfrm>
                            <a:off x="0" y="0"/>
                            <a:ext cx="2868854" cy="1745083"/>
                          </a:xfrm>
                          <a:prstGeom prst="rect">
                            <a:avLst/>
                          </a:prstGeom>
                        </pic:spPr>
                      </pic:pic>
                    </a:graphicData>
                  </a:graphic>
                </wp:inline>
              </w:drawing>
            </w:r>
          </w:p>
        </w:tc>
        <w:tc>
          <w:tcPr>
            <w:tcW w:w="4984" w:type="dxa"/>
          </w:tcPr>
          <w:p w:rsidR="00AD728D" w:rsidRDefault="00AD728D" w:rsidP="00EE413E">
            <w:pPr>
              <w:pStyle w:val="Sansinterligne"/>
            </w:pPr>
            <w:r w:rsidRPr="00A054BD">
              <w:rPr>
                <w:noProof/>
                <w:lang w:eastAsia="fr-FR"/>
              </w:rPr>
              <w:drawing>
                <wp:inline distT="0" distB="0" distL="0" distR="0">
                  <wp:extent cx="3081762" cy="1736100"/>
                  <wp:effectExtent l="19050" t="0" r="4338" b="0"/>
                  <wp:docPr id="9" name="Image 19" descr="JPEG - 353.4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PEG - 353.4 ko"/>
                          <pic:cNvPicPr>
                            <a:picLocks noChangeAspect="1" noChangeArrowheads="1"/>
                          </pic:cNvPicPr>
                        </pic:nvPicPr>
                        <pic:blipFill>
                          <a:blip r:embed="rId15" cstate="print"/>
                          <a:srcRect/>
                          <a:stretch>
                            <a:fillRect/>
                          </a:stretch>
                        </pic:blipFill>
                        <pic:spPr bwMode="auto">
                          <a:xfrm>
                            <a:off x="0" y="0"/>
                            <a:ext cx="3084033" cy="1737379"/>
                          </a:xfrm>
                          <a:prstGeom prst="rect">
                            <a:avLst/>
                          </a:prstGeom>
                          <a:noFill/>
                          <a:ln w="9525">
                            <a:noFill/>
                            <a:miter lim="800000"/>
                            <a:headEnd/>
                            <a:tailEnd/>
                          </a:ln>
                        </pic:spPr>
                      </pic:pic>
                    </a:graphicData>
                  </a:graphic>
                </wp:inline>
              </w:drawing>
            </w:r>
          </w:p>
        </w:tc>
      </w:tr>
      <w:tr w:rsidR="00AD728D" w:rsidTr="00EE413E">
        <w:tc>
          <w:tcPr>
            <w:tcW w:w="4984" w:type="dxa"/>
          </w:tcPr>
          <w:p w:rsidR="00AD728D" w:rsidRDefault="00AD728D" w:rsidP="00EE413E">
            <w:pPr>
              <w:pStyle w:val="Lgende"/>
            </w:pPr>
            <w:r>
              <w:t xml:space="preserve">(a) Bois, </w:t>
            </w:r>
            <w:proofErr w:type="spellStart"/>
            <w:r>
              <w:t>Kappelbrücke</w:t>
            </w:r>
            <w:proofErr w:type="spellEnd"/>
            <w:r>
              <w:t xml:space="preserve"> à Lucerne (Suisse)</w:t>
            </w:r>
          </w:p>
        </w:tc>
        <w:tc>
          <w:tcPr>
            <w:tcW w:w="4984" w:type="dxa"/>
          </w:tcPr>
          <w:p w:rsidR="00AD728D" w:rsidRDefault="00AD728D" w:rsidP="00D87554">
            <w:pPr>
              <w:pStyle w:val="Lgende"/>
            </w:pPr>
            <w:r>
              <w:t>(b)</w:t>
            </w:r>
            <w:r w:rsidR="00D87554">
              <w:t xml:space="preserve"> Pierre, Pont du Gard, source [6</w:t>
            </w:r>
            <w:r>
              <w:t>]</w:t>
            </w:r>
          </w:p>
        </w:tc>
      </w:tr>
      <w:tr w:rsidR="00AD728D" w:rsidTr="00EE413E">
        <w:tc>
          <w:tcPr>
            <w:tcW w:w="4984" w:type="dxa"/>
          </w:tcPr>
          <w:p w:rsidR="00AD728D" w:rsidRDefault="00AD728D" w:rsidP="00EE413E">
            <w:pPr>
              <w:pStyle w:val="Lgende"/>
            </w:pPr>
            <w:r w:rsidRPr="007E0815">
              <w:rPr>
                <w:noProof/>
                <w:lang w:eastAsia="fr-FR"/>
              </w:rPr>
              <w:drawing>
                <wp:inline distT="0" distB="0" distL="0" distR="0">
                  <wp:extent cx="1362797" cy="1990725"/>
                  <wp:effectExtent l="19050" t="0" r="8803" b="0"/>
                  <wp:docPr id="13" name="Image 36" descr="France_Cantal_Viaduc_de_Garabi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_Cantal_Viaduc_de_Garabit_01.jpg"/>
                          <pic:cNvPicPr/>
                        </pic:nvPicPr>
                        <pic:blipFill>
                          <a:blip r:embed="rId16" cstate="print"/>
                          <a:stretch>
                            <a:fillRect/>
                          </a:stretch>
                        </pic:blipFill>
                        <pic:spPr>
                          <a:xfrm>
                            <a:off x="0" y="0"/>
                            <a:ext cx="1365350" cy="1994454"/>
                          </a:xfrm>
                          <a:prstGeom prst="rect">
                            <a:avLst/>
                          </a:prstGeom>
                        </pic:spPr>
                      </pic:pic>
                    </a:graphicData>
                  </a:graphic>
                </wp:inline>
              </w:drawing>
            </w:r>
          </w:p>
        </w:tc>
        <w:tc>
          <w:tcPr>
            <w:tcW w:w="4984" w:type="dxa"/>
          </w:tcPr>
          <w:p w:rsidR="00AD728D" w:rsidRDefault="00AD728D" w:rsidP="00EE413E">
            <w:pPr>
              <w:pStyle w:val="Lgende"/>
            </w:pPr>
            <w:r>
              <w:rPr>
                <w:noProof/>
                <w:lang w:eastAsia="fr-FR"/>
              </w:rPr>
              <w:drawing>
                <wp:inline distT="0" distB="0" distL="0" distR="0">
                  <wp:extent cx="2476907" cy="1990725"/>
                  <wp:effectExtent l="19050" t="0" r="0" b="0"/>
                  <wp:docPr id="14" name="Image 3" descr="Viaduc sur la S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duc sur la Sinn.png"/>
                          <pic:cNvPicPr/>
                        </pic:nvPicPr>
                        <pic:blipFill>
                          <a:blip r:embed="rId17" cstate="print"/>
                          <a:stretch>
                            <a:fillRect/>
                          </a:stretch>
                        </pic:blipFill>
                        <pic:spPr>
                          <a:xfrm>
                            <a:off x="0" y="0"/>
                            <a:ext cx="2481752" cy="1994619"/>
                          </a:xfrm>
                          <a:prstGeom prst="rect">
                            <a:avLst/>
                          </a:prstGeom>
                        </pic:spPr>
                      </pic:pic>
                    </a:graphicData>
                  </a:graphic>
                </wp:inline>
              </w:drawing>
            </w:r>
          </w:p>
        </w:tc>
      </w:tr>
      <w:tr w:rsidR="00AD728D" w:rsidTr="00EE413E">
        <w:tc>
          <w:tcPr>
            <w:tcW w:w="4984" w:type="dxa"/>
          </w:tcPr>
          <w:p w:rsidR="00AD728D" w:rsidRDefault="00AD728D" w:rsidP="00D87554">
            <w:pPr>
              <w:pStyle w:val="Lgende"/>
            </w:pPr>
            <w:r>
              <w:t>(c) Acier, viadu</w:t>
            </w:r>
            <w:r w:rsidR="00D87554">
              <w:t>c de Garabit (Cantal), source [7</w:t>
            </w:r>
            <w:r>
              <w:t>]</w:t>
            </w:r>
          </w:p>
        </w:tc>
        <w:tc>
          <w:tcPr>
            <w:tcW w:w="4984" w:type="dxa"/>
          </w:tcPr>
          <w:p w:rsidR="00AD728D" w:rsidRPr="00D13488" w:rsidRDefault="00AD728D" w:rsidP="00D87554">
            <w:pPr>
              <w:pStyle w:val="Lgende"/>
            </w:pPr>
            <w:r>
              <w:t>(d) Matériaux composites (béton armé, précontraint, plastique armé…), viaduc sur la</w:t>
            </w:r>
            <w:r w:rsidR="00D87554">
              <w:t xml:space="preserve"> Sinn (Allemagne), source [8</w:t>
            </w:r>
            <w:r>
              <w:t>]</w:t>
            </w:r>
          </w:p>
        </w:tc>
      </w:tr>
    </w:tbl>
    <w:p w:rsidR="00AD728D" w:rsidRDefault="00AD728D" w:rsidP="00AD728D">
      <w:pPr>
        <w:pStyle w:val="Lgende"/>
      </w:pPr>
      <w:r>
        <w:t xml:space="preserve">Figure </w:t>
      </w:r>
      <w:fldSimple w:instr=" SEQ Figure \* ARABIC ">
        <w:r w:rsidR="00B34EA9">
          <w:rPr>
            <w:noProof/>
          </w:rPr>
          <w:t>4</w:t>
        </w:r>
      </w:fldSimple>
      <w:r>
        <w:t> : Matériaux utilisés pour construire les ponts</w:t>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86"/>
      </w:tblGrid>
      <w:tr w:rsidR="00AD728D" w:rsidTr="00EE413E">
        <w:tc>
          <w:tcPr>
            <w:tcW w:w="4503" w:type="dxa"/>
          </w:tcPr>
          <w:p w:rsidR="00AD728D" w:rsidRDefault="00AD728D" w:rsidP="00EE413E">
            <w:pPr>
              <w:pStyle w:val="Sansinterligne"/>
            </w:pPr>
            <w:r>
              <w:rPr>
                <w:noProof/>
                <w:lang w:eastAsia="fr-FR"/>
              </w:rPr>
              <w:lastRenderedPageBreak/>
              <w:drawing>
                <wp:inline distT="0" distB="0" distL="0" distR="0">
                  <wp:extent cx="2706609" cy="1562100"/>
                  <wp:effectExtent l="19050" t="0" r="0" b="0"/>
                  <wp:docPr id="15" name="Image 45" descr="rainbow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bridge.png"/>
                          <pic:cNvPicPr/>
                        </pic:nvPicPr>
                        <pic:blipFill>
                          <a:blip r:embed="rId18" cstate="print"/>
                          <a:stretch>
                            <a:fillRect/>
                          </a:stretch>
                        </pic:blipFill>
                        <pic:spPr>
                          <a:xfrm>
                            <a:off x="0" y="0"/>
                            <a:ext cx="2706609" cy="1562100"/>
                          </a:xfrm>
                          <a:prstGeom prst="rect">
                            <a:avLst/>
                          </a:prstGeom>
                        </pic:spPr>
                      </pic:pic>
                    </a:graphicData>
                  </a:graphic>
                </wp:inline>
              </w:drawing>
            </w:r>
          </w:p>
        </w:tc>
        <w:tc>
          <w:tcPr>
            <w:tcW w:w="5386" w:type="dxa"/>
          </w:tcPr>
          <w:p w:rsidR="00AD728D" w:rsidRDefault="00AD728D" w:rsidP="00EE413E">
            <w:pPr>
              <w:pStyle w:val="Sansinterligne"/>
            </w:pPr>
            <w:r>
              <w:rPr>
                <w:noProof/>
                <w:lang w:eastAsia="fr-FR"/>
              </w:rPr>
              <w:drawing>
                <wp:inline distT="0" distB="0" distL="0" distR="0">
                  <wp:extent cx="3347309" cy="1562100"/>
                  <wp:effectExtent l="19050" t="0" r="5491" b="0"/>
                  <wp:docPr id="16" name="Image 46" descr="Pont_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_Re_2.jpg"/>
                          <pic:cNvPicPr/>
                        </pic:nvPicPr>
                        <pic:blipFill>
                          <a:blip r:embed="rId19" cstate="print"/>
                          <a:stretch>
                            <a:fillRect/>
                          </a:stretch>
                        </pic:blipFill>
                        <pic:spPr>
                          <a:xfrm>
                            <a:off x="0" y="0"/>
                            <a:ext cx="3351727" cy="1564162"/>
                          </a:xfrm>
                          <a:prstGeom prst="rect">
                            <a:avLst/>
                          </a:prstGeom>
                        </pic:spPr>
                      </pic:pic>
                    </a:graphicData>
                  </a:graphic>
                </wp:inline>
              </w:drawing>
            </w:r>
          </w:p>
        </w:tc>
      </w:tr>
      <w:tr w:rsidR="00AD728D" w:rsidTr="00EE413E">
        <w:tc>
          <w:tcPr>
            <w:tcW w:w="4503" w:type="dxa"/>
          </w:tcPr>
          <w:p w:rsidR="00AD728D" w:rsidRDefault="00AD728D" w:rsidP="00EE413E">
            <w:pPr>
              <w:pStyle w:val="Lgende"/>
            </w:pPr>
            <w:r>
              <w:t xml:space="preserve">(a) Pont en arc, </w:t>
            </w:r>
            <w:proofErr w:type="spellStart"/>
            <w:r>
              <w:t>Rainbow</w:t>
            </w:r>
            <w:proofErr w:type="spellEnd"/>
            <w:r>
              <w:t xml:space="preserve"> bridge (Canada)</w:t>
            </w:r>
          </w:p>
        </w:tc>
        <w:tc>
          <w:tcPr>
            <w:tcW w:w="5386" w:type="dxa"/>
          </w:tcPr>
          <w:p w:rsidR="00AD728D" w:rsidRDefault="00AD728D" w:rsidP="00D87554">
            <w:pPr>
              <w:pStyle w:val="Lgende"/>
            </w:pPr>
            <w:r>
              <w:t>(b) Pont à dalle, à poutres, à caisson, pont de l’île de R</w:t>
            </w:r>
            <w:r w:rsidR="00D87554">
              <w:t>é (Charente Maritime), source [9</w:t>
            </w:r>
            <w:r>
              <w:t>]</w:t>
            </w:r>
          </w:p>
        </w:tc>
      </w:tr>
      <w:tr w:rsidR="00AD728D" w:rsidTr="00EE413E">
        <w:tc>
          <w:tcPr>
            <w:tcW w:w="4503" w:type="dxa"/>
          </w:tcPr>
          <w:p w:rsidR="00AD728D" w:rsidRDefault="00AD728D" w:rsidP="00EE413E">
            <w:pPr>
              <w:pStyle w:val="Sansinterligne"/>
            </w:pPr>
            <w:r>
              <w:rPr>
                <w:noProof/>
                <w:lang w:eastAsia="fr-FR"/>
              </w:rPr>
              <w:drawing>
                <wp:inline distT="0" distB="0" distL="0" distR="0">
                  <wp:extent cx="2159000" cy="1619250"/>
                  <wp:effectExtent l="19050" t="0" r="0" b="0"/>
                  <wp:docPr id="17" name="Image 47" descr="Pont_d'Anceni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_d'Ancenis_(1).jpg"/>
                          <pic:cNvPicPr/>
                        </pic:nvPicPr>
                        <pic:blipFill>
                          <a:blip r:embed="rId20" cstate="print"/>
                          <a:stretch>
                            <a:fillRect/>
                          </a:stretch>
                        </pic:blipFill>
                        <pic:spPr>
                          <a:xfrm>
                            <a:off x="0" y="0"/>
                            <a:ext cx="2159443" cy="1619582"/>
                          </a:xfrm>
                          <a:prstGeom prst="rect">
                            <a:avLst/>
                          </a:prstGeom>
                        </pic:spPr>
                      </pic:pic>
                    </a:graphicData>
                  </a:graphic>
                </wp:inline>
              </w:drawing>
            </w:r>
          </w:p>
        </w:tc>
        <w:tc>
          <w:tcPr>
            <w:tcW w:w="5386" w:type="dxa"/>
          </w:tcPr>
          <w:p w:rsidR="00AD728D" w:rsidRDefault="00AD728D" w:rsidP="00EE413E">
            <w:pPr>
              <w:pStyle w:val="Sansinterligne"/>
            </w:pPr>
            <w:r>
              <w:rPr>
                <w:noProof/>
                <w:lang w:eastAsia="fr-FR"/>
              </w:rPr>
              <w:drawing>
                <wp:inline distT="0" distB="0" distL="0" distR="0">
                  <wp:extent cx="2878667" cy="1619250"/>
                  <wp:effectExtent l="19050" t="0" r="0" b="0"/>
                  <wp:docPr id="18" name="Image 19" descr="Le viaduc de Millau et ses haub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 viaduc de Millau et ses haubans"/>
                          <pic:cNvPicPr>
                            <a:picLocks noChangeAspect="1" noChangeArrowheads="1"/>
                          </pic:cNvPicPr>
                        </pic:nvPicPr>
                        <pic:blipFill>
                          <a:blip r:embed="rId21" cstate="print"/>
                          <a:srcRect/>
                          <a:stretch>
                            <a:fillRect/>
                          </a:stretch>
                        </pic:blipFill>
                        <pic:spPr bwMode="auto">
                          <a:xfrm>
                            <a:off x="0" y="0"/>
                            <a:ext cx="2878667" cy="1619250"/>
                          </a:xfrm>
                          <a:prstGeom prst="rect">
                            <a:avLst/>
                          </a:prstGeom>
                          <a:noFill/>
                          <a:ln w="9525">
                            <a:noFill/>
                            <a:miter lim="800000"/>
                            <a:headEnd/>
                            <a:tailEnd/>
                          </a:ln>
                        </pic:spPr>
                      </pic:pic>
                    </a:graphicData>
                  </a:graphic>
                </wp:inline>
              </w:drawing>
            </w:r>
          </w:p>
        </w:tc>
      </w:tr>
      <w:tr w:rsidR="00AD728D" w:rsidTr="00EE413E">
        <w:tc>
          <w:tcPr>
            <w:tcW w:w="4503" w:type="dxa"/>
          </w:tcPr>
          <w:p w:rsidR="00AD728D" w:rsidRDefault="00AD728D" w:rsidP="00D87554">
            <w:pPr>
              <w:pStyle w:val="Lgende"/>
            </w:pPr>
            <w:r>
              <w:t>(c) Pont suspendu, pont Bretagne-Anjou (Loire-Atlantiq</w:t>
            </w:r>
            <w:r w:rsidR="00D87554">
              <w:t>ue et Maine-et-Loire), source [10</w:t>
            </w:r>
            <w:r>
              <w:t>]</w:t>
            </w:r>
          </w:p>
        </w:tc>
        <w:tc>
          <w:tcPr>
            <w:tcW w:w="5386" w:type="dxa"/>
          </w:tcPr>
          <w:p w:rsidR="00AD728D" w:rsidRDefault="00AD728D" w:rsidP="00D87554">
            <w:pPr>
              <w:pStyle w:val="Lgende"/>
            </w:pPr>
            <w:r>
              <w:t>(d) Pont à hauban, viaduc de Millau (Aveyron), source [1</w:t>
            </w:r>
            <w:r w:rsidR="00D87554">
              <w:t>1</w:t>
            </w:r>
            <w:r>
              <w:t>]</w:t>
            </w:r>
          </w:p>
        </w:tc>
      </w:tr>
    </w:tbl>
    <w:p w:rsidR="00AD728D" w:rsidRPr="000940BB" w:rsidRDefault="00AD728D" w:rsidP="00AD728D">
      <w:pPr>
        <w:pStyle w:val="Lgende"/>
      </w:pPr>
      <w:r>
        <w:t xml:space="preserve">Figure </w:t>
      </w:r>
      <w:fldSimple w:instr=" SEQ Figure \* ARABIC ">
        <w:r w:rsidR="00B34EA9">
          <w:rPr>
            <w:noProof/>
          </w:rPr>
          <w:t>5</w:t>
        </w:r>
      </w:fldSimple>
      <w:r>
        <w:t> : Architecture des ponts</w:t>
      </w:r>
    </w:p>
    <w:p w:rsidR="00AD728D" w:rsidRDefault="00AD728D" w:rsidP="00AD728D">
      <w:r>
        <w:t xml:space="preserve">En fonction des architectures, les charges suivent différents trajets pour atteindre le sol : par l’arche dans les ponts à arcs, ou transmises aux piles par des éléments porteurs pour les autres types de pont. Ces éléments porteurs peuvent être constitués de dalles, poutres ou caissons, de suspentes et câbles porteurs pour les ponts suspendus, ou encore de haubans. Le choix dépend du lieu d’implantation donc de la nature du sol et de la portée nécessaire. La figure </w:t>
      </w:r>
      <w:r w:rsidR="00C71D76">
        <w:t>6</w:t>
      </w:r>
      <w:r>
        <w:t xml:space="preserve"> répertorie les types de ponts en fonction des portées pour lesquelles ils sont habituellement utilisés :</w:t>
      </w:r>
    </w:p>
    <w:p w:rsidR="00AD728D" w:rsidRDefault="00AD728D" w:rsidP="00AD728D">
      <w:pPr>
        <w:pStyle w:val="Sansinterligne"/>
      </w:pPr>
      <w:r>
        <w:rPr>
          <w:noProof/>
          <w:lang w:eastAsia="fr-FR"/>
        </w:rPr>
        <w:drawing>
          <wp:inline distT="0" distB="0" distL="0" distR="0">
            <wp:extent cx="5782389" cy="3634154"/>
            <wp:effectExtent l="19050" t="0" r="8811" b="0"/>
            <wp:docPr id="19" name="Image 48" descr="Systèmes porteurs fonction des portées princip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èmes porteurs fonction des portées principales.png"/>
                    <pic:cNvPicPr/>
                  </pic:nvPicPr>
                  <pic:blipFill>
                    <a:blip r:embed="rId22" cstate="print"/>
                    <a:stretch>
                      <a:fillRect/>
                    </a:stretch>
                  </pic:blipFill>
                  <pic:spPr>
                    <a:xfrm>
                      <a:off x="0" y="0"/>
                      <a:ext cx="5780379" cy="3632890"/>
                    </a:xfrm>
                    <a:prstGeom prst="rect">
                      <a:avLst/>
                    </a:prstGeom>
                  </pic:spPr>
                </pic:pic>
              </a:graphicData>
            </a:graphic>
          </wp:inline>
        </w:drawing>
      </w:r>
    </w:p>
    <w:p w:rsidR="00AD728D" w:rsidRPr="00AD728D" w:rsidRDefault="00AD728D" w:rsidP="00AD728D">
      <w:pPr>
        <w:pStyle w:val="Lgende"/>
      </w:pPr>
      <w:r>
        <w:t xml:space="preserve">Figure </w:t>
      </w:r>
      <w:fldSimple w:instr=" SEQ Figure \* ARABIC ">
        <w:r w:rsidR="00B34EA9">
          <w:rPr>
            <w:noProof/>
          </w:rPr>
          <w:t>6</w:t>
        </w:r>
      </w:fldSimple>
      <w:r>
        <w:t xml:space="preserve"> : Principaux systèmes porteurs en fonctions des portées </w:t>
      </w:r>
      <w:r w:rsidRPr="00907FC8">
        <w:t>principales</w:t>
      </w:r>
      <w:r>
        <w:t xml:space="preserve"> habituelles, source [1</w:t>
      </w:r>
      <w:r w:rsidR="00D87554">
        <w:t>2</w:t>
      </w:r>
      <w:r>
        <w:t>]</w:t>
      </w:r>
    </w:p>
    <w:p w:rsidR="00294F7D" w:rsidRDefault="00C71D76" w:rsidP="00514D5F">
      <w:pPr>
        <w:pStyle w:val="Titre2"/>
      </w:pPr>
      <w:r>
        <w:lastRenderedPageBreak/>
        <w:t xml:space="preserve">1.3 - </w:t>
      </w:r>
      <w:r w:rsidR="0017456C">
        <w:t xml:space="preserve">Le passé des ponts </w:t>
      </w:r>
      <w:r w:rsidR="0017456C" w:rsidRPr="00514D5F">
        <w:t>suspendus</w:t>
      </w:r>
      <w:r w:rsidR="0017456C">
        <w:t xml:space="preserve"> : réussites et désastres</w:t>
      </w:r>
    </w:p>
    <w:p w:rsidR="0017456C" w:rsidRDefault="0017456C" w:rsidP="003F620F">
      <w:r>
        <w:t>Construire un pont suspendu est aujourd’hui la solution la plus souvent retenue lorsqu’il s’agit de franchir de grandes brèches. C’est en Chine, au premier siècle qu’un pont suspendu utilisant des chaines aurait été construit pour l</w:t>
      </w:r>
      <w:r w:rsidR="003F620F">
        <w:t>a</w:t>
      </w:r>
      <w:r>
        <w:t xml:space="preserve"> première fois dans le Yunnan. Cependant le premier constructeur connu demeure un moine bouddhiste qui construisait des ponts suspendus dans l’Himalaya au XIV</w:t>
      </w:r>
      <w:r w:rsidRPr="00072553">
        <w:rPr>
          <w:vertAlign w:val="superscript"/>
        </w:rPr>
        <w:t>e</w:t>
      </w:r>
      <w:r>
        <w:rPr>
          <w:sz w:val="14"/>
          <w:szCs w:val="14"/>
        </w:rPr>
        <w:t xml:space="preserve"> </w:t>
      </w:r>
      <w:r>
        <w:t xml:space="preserve">siècle. </w:t>
      </w:r>
    </w:p>
    <w:p w:rsidR="0017456C" w:rsidRDefault="0017456C" w:rsidP="0017456C">
      <w:r>
        <w:t xml:space="preserve">Ce n’est qu’à partir de 1796 que l’Américain </w:t>
      </w:r>
      <w:proofErr w:type="spellStart"/>
      <w:r>
        <w:t>Finley</w:t>
      </w:r>
      <w:proofErr w:type="spellEnd"/>
      <w:r>
        <w:t xml:space="preserve"> fabrique les premiers ponts suspendus à l’aide de câbles en chaines de fer. </w:t>
      </w:r>
      <w:r w:rsidR="00DA0975">
        <w:t>À</w:t>
      </w:r>
      <w:r>
        <w:t xml:space="preserve"> l’aide de câbles à </w:t>
      </w:r>
      <w:r w:rsidR="003F620F">
        <w:t>œillets</w:t>
      </w:r>
      <w:r>
        <w:t xml:space="preserve">, d’invention anglaise, Thomas Telford construit le pont suspendu sur le détroit de Menai, en 1826, avec une portée de 177 m. Les frères Seguin, d’origine française, proposent en 1825 de remplacer les barres à </w:t>
      </w:r>
      <w:r w:rsidR="003F620F">
        <w:t>œillets</w:t>
      </w:r>
      <w:r>
        <w:t xml:space="preserve"> par des fils de fer de faible diamètre, plus résistants que les pièces de forge.</w:t>
      </w:r>
    </w:p>
    <w:p w:rsidR="002E60D3" w:rsidRDefault="002E60D3" w:rsidP="002E60D3">
      <w:pPr>
        <w:pStyle w:val="Sansinterligne"/>
      </w:pPr>
      <w:r>
        <w:rPr>
          <w:noProof/>
          <w:lang w:eastAsia="fr-FR"/>
        </w:rPr>
        <w:drawing>
          <wp:inline distT="0" distB="0" distL="0" distR="0">
            <wp:extent cx="4752975" cy="2733675"/>
            <wp:effectExtent l="19050" t="0" r="9525" b="0"/>
            <wp:docPr id="28" name="Image 27" descr="Menai_Suspension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ai_Suspension_Bridge.jpg"/>
                    <pic:cNvPicPr/>
                  </pic:nvPicPr>
                  <pic:blipFill>
                    <a:blip r:embed="rId23" cstate="print"/>
                    <a:srcRect t="-315" b="9779"/>
                    <a:stretch>
                      <a:fillRect/>
                    </a:stretch>
                  </pic:blipFill>
                  <pic:spPr>
                    <a:xfrm>
                      <a:off x="0" y="0"/>
                      <a:ext cx="4752975" cy="2733675"/>
                    </a:xfrm>
                    <a:prstGeom prst="rect">
                      <a:avLst/>
                    </a:prstGeom>
                  </pic:spPr>
                </pic:pic>
              </a:graphicData>
            </a:graphic>
          </wp:inline>
        </w:drawing>
      </w:r>
    </w:p>
    <w:p w:rsidR="0017456C" w:rsidRPr="0017456C" w:rsidRDefault="0017456C" w:rsidP="0017456C">
      <w:pPr>
        <w:pStyle w:val="Lgende"/>
        <w:rPr>
          <w:szCs w:val="22"/>
        </w:rPr>
      </w:pPr>
      <w:r>
        <w:t xml:space="preserve">Figure </w:t>
      </w:r>
      <w:fldSimple w:instr=" SEQ Figure \* ARABIC ">
        <w:r w:rsidR="00B34EA9">
          <w:rPr>
            <w:noProof/>
          </w:rPr>
          <w:t>7</w:t>
        </w:r>
      </w:fldSimple>
      <w:r>
        <w:t> : Pont suspendu du détroit de Menai</w:t>
      </w:r>
      <w:r w:rsidR="006C266F">
        <w:t xml:space="preserve"> entre l’Irlande et le Pays de Galles (U.K.)</w:t>
      </w:r>
      <w:r w:rsidR="00D87554">
        <w:t>, source [13</w:t>
      </w:r>
      <w:r w:rsidR="002E60D3">
        <w:t>]</w:t>
      </w:r>
    </w:p>
    <w:p w:rsidR="0017456C" w:rsidRDefault="0017456C" w:rsidP="0017456C">
      <w:r>
        <w:t>De nombreux pont</w:t>
      </w:r>
      <w:r w:rsidR="00072553">
        <w:t>s</w:t>
      </w:r>
      <w:r>
        <w:t xml:space="preserve"> suspendus ont été emportés par le vent à cause de problèmes de dimensionnement et plus particulièrement faute de contreventement comme le pont de Berwick ou celui de La Roche-Bernard</w:t>
      </w:r>
      <w:r w:rsidR="00341544">
        <w:t>, département du Morbihan</w:t>
      </w:r>
      <w:r w:rsidR="00DA0975">
        <w:t>,</w:t>
      </w:r>
      <w:r w:rsidR="00341544">
        <w:t xml:space="preserve"> </w:t>
      </w:r>
      <w:r w:rsidR="00DA0975">
        <w:t>enjambant</w:t>
      </w:r>
      <w:r w:rsidR="00341544">
        <w:t xml:space="preserve"> La Vilaine</w:t>
      </w:r>
      <w:r>
        <w:t>.</w:t>
      </w:r>
    </w:p>
    <w:p w:rsidR="0017456C" w:rsidRDefault="00341544" w:rsidP="002C2A8A">
      <w:pPr>
        <w:pStyle w:val="Sansinterligne"/>
        <w:spacing w:after="60"/>
      </w:pPr>
      <w:r>
        <w:rPr>
          <w:noProof/>
          <w:lang w:eastAsia="fr-FR"/>
        </w:rPr>
        <w:drawing>
          <wp:inline distT="0" distB="0" distL="0" distR="0">
            <wp:extent cx="3074034" cy="1943100"/>
            <wp:effectExtent l="19050" t="0" r="0" b="0"/>
            <wp:docPr id="2" name="il_fi" descr="http://www.art-et-histoire.com/hr/hrpt2r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et-histoire.com/hr/hrpt2rcb.jpg"/>
                    <pic:cNvPicPr>
                      <a:picLocks noChangeAspect="1" noChangeArrowheads="1"/>
                    </pic:cNvPicPr>
                  </pic:nvPicPr>
                  <pic:blipFill>
                    <a:blip r:embed="rId24" cstate="print"/>
                    <a:srcRect/>
                    <a:stretch>
                      <a:fillRect/>
                    </a:stretch>
                  </pic:blipFill>
                  <pic:spPr bwMode="auto">
                    <a:xfrm>
                      <a:off x="0" y="0"/>
                      <a:ext cx="3074665" cy="1943499"/>
                    </a:xfrm>
                    <a:prstGeom prst="rect">
                      <a:avLst/>
                    </a:prstGeom>
                    <a:noFill/>
                    <a:ln w="9525">
                      <a:noFill/>
                      <a:miter lim="800000"/>
                      <a:headEnd/>
                      <a:tailEnd/>
                    </a:ln>
                  </pic:spPr>
                </pic:pic>
              </a:graphicData>
            </a:graphic>
          </wp:inline>
        </w:drawing>
      </w:r>
      <w:r w:rsidR="00DA0975">
        <w:tab/>
      </w:r>
      <w:r w:rsidR="00DA0975">
        <w:rPr>
          <w:noProof/>
          <w:lang w:eastAsia="fr-FR"/>
        </w:rPr>
        <w:drawing>
          <wp:inline distT="0" distB="0" distL="0" distR="0">
            <wp:extent cx="2937227" cy="1952930"/>
            <wp:effectExtent l="19050" t="0" r="0" b="0"/>
            <wp:docPr id="3" name="Image 2" descr="Pont-La-Roche-Bernard-Morbihan-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La-Roche-Bernard-Morbihan-2010.JPG"/>
                    <pic:cNvPicPr/>
                  </pic:nvPicPr>
                  <pic:blipFill>
                    <a:blip r:embed="rId25" cstate="print"/>
                    <a:stretch>
                      <a:fillRect/>
                    </a:stretch>
                  </pic:blipFill>
                  <pic:spPr>
                    <a:xfrm>
                      <a:off x="0" y="0"/>
                      <a:ext cx="2942300" cy="1956303"/>
                    </a:xfrm>
                    <a:prstGeom prst="rect">
                      <a:avLst/>
                    </a:prstGeom>
                  </pic:spPr>
                </pic:pic>
              </a:graphicData>
            </a:graphic>
          </wp:inline>
        </w:drawing>
      </w:r>
    </w:p>
    <w:p w:rsidR="00DA0975" w:rsidRDefault="00DA0975" w:rsidP="0017456C">
      <w:pPr>
        <w:pStyle w:val="Lgende"/>
        <w:sectPr w:rsidR="00DA0975"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341544" w:rsidRDefault="0017456C" w:rsidP="0017456C">
      <w:pPr>
        <w:pStyle w:val="Lgende"/>
      </w:pPr>
      <w:r>
        <w:lastRenderedPageBreak/>
        <w:t xml:space="preserve">Figure </w:t>
      </w:r>
      <w:fldSimple w:instr=" SEQ Figure \* ARABIC ">
        <w:r w:rsidR="00B34EA9">
          <w:rPr>
            <w:noProof/>
          </w:rPr>
          <w:t>8</w:t>
        </w:r>
      </w:fldSimple>
      <w:r>
        <w:t xml:space="preserve"> : Pont suspendu du détroit de la Roche-Bernard </w:t>
      </w:r>
      <w:r w:rsidR="00341544">
        <w:t xml:space="preserve">inauguré en </w:t>
      </w:r>
      <w:r>
        <w:t>1839</w:t>
      </w:r>
      <w:r w:rsidR="00341544">
        <w:t>, source [</w:t>
      </w:r>
      <w:r w:rsidR="00D87554">
        <w:t>14</w:t>
      </w:r>
      <w:r w:rsidR="00341544">
        <w:t>]</w:t>
      </w:r>
    </w:p>
    <w:p w:rsidR="002C2A8A" w:rsidRPr="002C2A8A" w:rsidRDefault="002C2A8A" w:rsidP="002C2A8A">
      <w:pPr>
        <w:pStyle w:val="Lgende"/>
      </w:pPr>
    </w:p>
    <w:p w:rsidR="00DA0975" w:rsidRDefault="0017456C" w:rsidP="0017456C">
      <w:pPr>
        <w:pStyle w:val="Lgende"/>
        <w:sectPr w:rsidR="00DA0975" w:rsidSect="00DA097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 xml:space="preserve">Figure </w:t>
      </w:r>
      <w:fldSimple w:instr=" SEQ Figure \* ARABIC ">
        <w:r w:rsidR="00B34EA9">
          <w:rPr>
            <w:noProof/>
          </w:rPr>
          <w:t>9</w:t>
        </w:r>
      </w:fldSimple>
      <w:r>
        <w:t xml:space="preserve"> : Ruines du pont de </w:t>
      </w:r>
      <w:r w:rsidR="00DA0975">
        <w:t xml:space="preserve">la </w:t>
      </w:r>
      <w:r>
        <w:t xml:space="preserve">Roche-Bernard détruit en 1852 </w:t>
      </w:r>
      <w:r w:rsidR="002C2A8A">
        <w:t>par résonance lors d’</w:t>
      </w:r>
      <w:r w:rsidR="00341544">
        <w:t>une</w:t>
      </w:r>
      <w:r>
        <w:t xml:space="preserve"> tempête</w:t>
      </w:r>
      <w:r w:rsidR="00341544">
        <w:t xml:space="preserve">, reconstruit </w:t>
      </w:r>
      <w:r w:rsidR="002C2A8A">
        <w:t xml:space="preserve">en 1862 </w:t>
      </w:r>
      <w:r w:rsidR="00341544">
        <w:t xml:space="preserve">puis </w:t>
      </w:r>
      <w:r w:rsidR="00DA0975">
        <w:t xml:space="preserve">à nouveau </w:t>
      </w:r>
      <w:r w:rsidR="00341544">
        <w:t>détruit en 1870</w:t>
      </w:r>
      <w:r w:rsidR="002C2A8A">
        <w:t xml:space="preserve"> par une tempête</w:t>
      </w:r>
      <w:r w:rsidR="00341544">
        <w:t>. Il est doublé d’un pont métallique en 1911</w:t>
      </w:r>
      <w:r w:rsidR="00DA0975">
        <w:t>, source [</w:t>
      </w:r>
      <w:r w:rsidR="00D87554">
        <w:t>15</w:t>
      </w:r>
      <w:r w:rsidR="00DA0975">
        <w:t>]</w:t>
      </w:r>
    </w:p>
    <w:p w:rsidR="00466481" w:rsidRDefault="00606BF1" w:rsidP="00CF0FA5">
      <w:r w:rsidRPr="00606BF1">
        <w:lastRenderedPageBreak/>
        <w:t xml:space="preserve">En 1831, le pont de </w:t>
      </w:r>
      <w:proofErr w:type="spellStart"/>
      <w:r w:rsidR="00CF0FA5">
        <w:t>Broughton</w:t>
      </w:r>
      <w:proofErr w:type="spellEnd"/>
      <w:r w:rsidR="00CF0FA5">
        <w:t xml:space="preserve">, au Royaume-Uni, </w:t>
      </w:r>
      <w:r w:rsidRPr="00606BF1">
        <w:t xml:space="preserve">s’est écroulé au passage d’une troupe au pas cadencé : l’excitation engendrée par le passage du régiment a produit des vibrations entretenues </w:t>
      </w:r>
      <w:r w:rsidRPr="00606BF1">
        <w:lastRenderedPageBreak/>
        <w:t>de l’ouvrage. Suite à cet évènement, les troupes rompent le pas au passage des ponts. Les différentes destructions de ces ouvrages d’art sont dues à l’empirisme qui régnait dans ce domaine : les seuls ponts qui ont survécu sont ceux construits par des ingénieurs intuitifs, qui ont choisi des formes adaptées malgré la méconnaissance des phénomènes en présence</w:t>
      </w:r>
      <w:r w:rsidR="00466481">
        <w:t>.</w:t>
      </w:r>
    </w:p>
    <w:p w:rsidR="00606BF1" w:rsidRPr="00606BF1" w:rsidRDefault="00606BF1" w:rsidP="00CF0FA5">
      <w:r w:rsidRPr="00606BF1">
        <w:t>La construction des ponts suspendus progresse donc à la suite de coups de génie comme le pont de Fribourg</w:t>
      </w:r>
      <w:r w:rsidR="00CF0FA5">
        <w:t xml:space="preserve"> en Suisse</w:t>
      </w:r>
      <w:r w:rsidRPr="00606BF1">
        <w:t xml:space="preserve"> </w:t>
      </w:r>
      <w:r w:rsidR="00CF0FA5" w:rsidRPr="00606BF1">
        <w:t>d’une portée de 273 m</w:t>
      </w:r>
      <w:r w:rsidR="00CF0FA5">
        <w:t>,</w:t>
      </w:r>
      <w:r w:rsidR="00CF0FA5" w:rsidRPr="00606BF1">
        <w:t xml:space="preserve"> </w:t>
      </w:r>
      <w:r w:rsidR="008570BE">
        <w:t>bâti</w:t>
      </w:r>
      <w:r w:rsidRPr="00606BF1">
        <w:t xml:space="preserve"> en 1834 par J</w:t>
      </w:r>
      <w:r w:rsidR="00CF0FA5">
        <w:t xml:space="preserve">oseph </w:t>
      </w:r>
      <w:proofErr w:type="spellStart"/>
      <w:r w:rsidR="00CF0FA5">
        <w:t>Chaley</w:t>
      </w:r>
      <w:proofErr w:type="spellEnd"/>
      <w:r w:rsidRPr="00606BF1">
        <w:t xml:space="preserve"> ou encore les ponts de Brooklyn</w:t>
      </w:r>
      <w:r w:rsidR="00CF0FA5">
        <w:t xml:space="preserve"> </w:t>
      </w:r>
      <w:r w:rsidR="00CF0FA5" w:rsidRPr="00606BF1">
        <w:t xml:space="preserve">et Georges Washington </w:t>
      </w:r>
      <w:r w:rsidR="00CF0FA5">
        <w:t xml:space="preserve">aux États-Unis, </w:t>
      </w:r>
      <w:r w:rsidRPr="00606BF1">
        <w:t>qui ont augment</w:t>
      </w:r>
      <w:r w:rsidR="00CF0FA5">
        <w:t>é</w:t>
      </w:r>
      <w:r w:rsidRPr="00606BF1">
        <w:t xml:space="preserve"> au fur et à mesure la limite de portée</w:t>
      </w:r>
      <w:r w:rsidR="00466481">
        <w:t>.</w:t>
      </w:r>
      <w:r w:rsidR="002B6CA8" w:rsidRPr="002B6CA8">
        <w:t xml:space="preserve"> </w:t>
      </w:r>
      <w:r w:rsidR="002B6CA8">
        <w:t>À</w:t>
      </w:r>
      <w:r w:rsidR="002B6CA8" w:rsidRPr="00606BF1">
        <w:t xml:space="preserve"> la fin du XIX</w:t>
      </w:r>
      <w:r w:rsidR="002B6CA8" w:rsidRPr="00CF0FA5">
        <w:rPr>
          <w:vertAlign w:val="superscript"/>
        </w:rPr>
        <w:t>e</w:t>
      </w:r>
      <w:r w:rsidR="002B6CA8" w:rsidRPr="00606BF1">
        <w:rPr>
          <w:sz w:val="14"/>
          <w:szCs w:val="14"/>
        </w:rPr>
        <w:t xml:space="preserve"> </w:t>
      </w:r>
      <w:r w:rsidR="002B6CA8" w:rsidRPr="00606BF1">
        <w:t>siècle</w:t>
      </w:r>
      <w:r w:rsidR="002B6CA8">
        <w:t>,</w:t>
      </w:r>
      <w:r w:rsidR="002B6CA8" w:rsidRPr="00606BF1">
        <w:t xml:space="preserve"> apparaissent les câbles toronnés à torsion alternée dont les couches extérieures serrent les couches internes et qui permettent le maintien de l’ancrage même si certains fils internes se rompent. Le rôle des poutres de rigidité (ou contreventement) commence aussi à être compris pour assurer la résistance statique du pont soumis aux vents.</w:t>
      </w:r>
      <w:r w:rsidR="002B6CA8">
        <w:t xml:space="preserve"> </w:t>
      </w:r>
      <w:r w:rsidRPr="00606BF1">
        <w:t xml:space="preserve">Le Golden </w:t>
      </w:r>
      <w:proofErr w:type="spellStart"/>
      <w:r w:rsidRPr="00606BF1">
        <w:t>Gate</w:t>
      </w:r>
      <w:proofErr w:type="spellEnd"/>
      <w:r w:rsidRPr="00606BF1">
        <w:t xml:space="preserve"> Bridge s’inscrit à la suite de ces échecs et réussites. Pour son dimensionnement, de nombreux calculs ont été réalisés ainsi que des essais sur maquette. </w:t>
      </w:r>
    </w:p>
    <w:p w:rsidR="0017456C" w:rsidRDefault="00606BF1" w:rsidP="00606BF1">
      <w:r w:rsidRPr="00606BF1">
        <w:t>Les records de</w:t>
      </w:r>
      <w:r w:rsidR="006A7549">
        <w:t>s</w:t>
      </w:r>
      <w:r w:rsidRPr="00606BF1">
        <w:t xml:space="preserve"> port</w:t>
      </w:r>
      <w:r w:rsidRPr="00B34EA9">
        <w:t>ées</w:t>
      </w:r>
      <w:r w:rsidRPr="00606BF1">
        <w:t xml:space="preserve"> passent de 486 m en 1883 avec le pont de Brooklyn à 521 m en 1890 avec le pont en treillis tubulaire permettant la traversé</w:t>
      </w:r>
      <w:r w:rsidR="006A7549">
        <w:t>e</w:t>
      </w:r>
      <w:r w:rsidRPr="00606BF1">
        <w:t xml:space="preserve"> du </w:t>
      </w:r>
      <w:proofErr w:type="spellStart"/>
      <w:r w:rsidRPr="00606BF1">
        <w:t>Fith</w:t>
      </w:r>
      <w:proofErr w:type="spellEnd"/>
      <w:r w:rsidRPr="00606BF1">
        <w:t xml:space="preserve"> of Forth. Ce record progresse petit à petit jusqu’en 1931, lorsque le pont George Washington construit par </w:t>
      </w:r>
      <w:proofErr w:type="spellStart"/>
      <w:r w:rsidRPr="00606BF1">
        <w:t>Othmar</w:t>
      </w:r>
      <w:proofErr w:type="spellEnd"/>
      <w:r w:rsidRPr="00606BF1">
        <w:t xml:space="preserve"> H. </w:t>
      </w:r>
      <w:proofErr w:type="spellStart"/>
      <w:r w:rsidRPr="00606BF1">
        <w:t>Ammann</w:t>
      </w:r>
      <w:proofErr w:type="spellEnd"/>
      <w:r w:rsidRPr="00606BF1">
        <w:t xml:space="preserve"> sur l’Hudson à New York</w:t>
      </w:r>
      <w:r>
        <w:t xml:space="preserve"> atteint une portée de 1</w:t>
      </w:r>
      <w:r w:rsidR="00B973F9">
        <w:t> </w:t>
      </w:r>
      <w:r>
        <w:t>067 m ! Une nouvelle ère est alors ouverte. Cet ouvrage est suivi de pr</w:t>
      </w:r>
      <w:r w:rsidR="00B973F9">
        <w:t>ès</w:t>
      </w:r>
      <w:r>
        <w:t xml:space="preserve"> par le célèbre Golden </w:t>
      </w:r>
      <w:proofErr w:type="spellStart"/>
      <w:r>
        <w:t>Gate</w:t>
      </w:r>
      <w:proofErr w:type="spellEnd"/>
      <w:r>
        <w:t xml:space="preserve"> Bridge en 1937. Avec une portée de 1</w:t>
      </w:r>
      <w:r w:rsidR="00B973F9">
        <w:t> </w:t>
      </w:r>
      <w:r>
        <w:t>280 m, il détient le record jusqu’en 1964. Tous ces ponts américains utilisent un tablier en treillis, parfois à deux étages, qui assurent la fonction de poutre de rigidité et par conséquent la résistance vis-à-vis des effets du vent en flexion horizontale et en torsion.</w:t>
      </w:r>
    </w:p>
    <w:p w:rsidR="008B22D5" w:rsidRPr="008B22D5" w:rsidRDefault="008B22D5" w:rsidP="008B22D5">
      <w:r w:rsidRPr="008B22D5">
        <w:t>De grandes avancées ont ensuite été permises grâce à l’expérience du célèbre pont de Tacoma effondré en 1940. Il s’agissait d’un mince tablier, constitué de deux poutres latérales de faible hauteur réunies par des platelages (chaussée). Il avait une portée de 855 m et était de très faible largeur : cela lui donnait des caractéristiques exceptionnelles. Seulement quatre mois après sa mise en service, un vent suffisamment important a fait entrer l’ouvrage en vibration. Correspondantes au premier mode de torsion, les vibrations se sont amplifiées et ont entra</w:t>
      </w:r>
      <w:r w:rsidR="00B973F9">
        <w:t>î</w:t>
      </w:r>
      <w:r w:rsidRPr="008B22D5">
        <w:t xml:space="preserve">né la destruction de l’ouvrage d’art en </w:t>
      </w:r>
      <w:r w:rsidR="00B973F9">
        <w:t>deux</w:t>
      </w:r>
      <w:r w:rsidRPr="008B22D5">
        <w:t xml:space="preserve"> heures. Suite à cet évènement, les effets du vent ont été repensés et considérés dans le dimensionnement des ponts suspendus suivant deux approches : </w:t>
      </w:r>
    </w:p>
    <w:p w:rsidR="008B22D5" w:rsidRPr="008B22D5" w:rsidRDefault="00B973F9" w:rsidP="00AB22F1">
      <w:pPr>
        <w:pStyle w:val="Paragraphedeliste"/>
        <w:numPr>
          <w:ilvl w:val="0"/>
          <w:numId w:val="6"/>
        </w:numPr>
        <w:spacing w:before="120" w:after="60"/>
        <w:ind w:left="714" w:hanging="357"/>
        <w:contextualSpacing w:val="0"/>
      </w:pPr>
      <w:r>
        <w:t>l</w:t>
      </w:r>
      <w:r w:rsidR="008B22D5" w:rsidRPr="008B22D5">
        <w:t>’étude des phénomènes dynamiques produits par un vent régulier</w:t>
      </w:r>
      <w:r>
        <w:t> ;</w:t>
      </w:r>
      <w:r w:rsidR="008B22D5" w:rsidRPr="008B22D5">
        <w:t xml:space="preserve"> </w:t>
      </w:r>
    </w:p>
    <w:p w:rsidR="008B22D5" w:rsidRDefault="00B973F9" w:rsidP="00B973F9">
      <w:pPr>
        <w:pStyle w:val="Paragraphedeliste"/>
        <w:numPr>
          <w:ilvl w:val="0"/>
          <w:numId w:val="6"/>
        </w:numPr>
      </w:pPr>
      <w:r>
        <w:t>l</w:t>
      </w:r>
      <w:r w:rsidR="008B22D5" w:rsidRPr="008B22D5">
        <w:t>’étude dynamique de l’ouvrage</w:t>
      </w:r>
      <w:r w:rsidR="00063F8D">
        <w:t xml:space="preserve"> aux effets turbulents du vent.</w:t>
      </w:r>
    </w:p>
    <w:p w:rsidR="00063F8D" w:rsidRPr="008B22D5" w:rsidRDefault="00063F8D" w:rsidP="00063F8D">
      <w:pPr>
        <w:pStyle w:val="Sansinterligne"/>
      </w:pPr>
      <w:r>
        <w:rPr>
          <w:noProof/>
          <w:lang w:eastAsia="fr-FR"/>
        </w:rPr>
        <w:drawing>
          <wp:inline distT="0" distB="0" distL="0" distR="0">
            <wp:extent cx="2670100" cy="1948132"/>
            <wp:effectExtent l="19050" t="0" r="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676826" cy="1953040"/>
                    </a:xfrm>
                    <a:prstGeom prst="rect">
                      <a:avLst/>
                    </a:prstGeom>
                    <a:noFill/>
                    <a:ln w="9525">
                      <a:noFill/>
                      <a:miter lim="800000"/>
                      <a:headEnd/>
                      <a:tailEnd/>
                    </a:ln>
                  </pic:spPr>
                </pic:pic>
              </a:graphicData>
            </a:graphic>
          </wp:inline>
        </w:drawing>
      </w:r>
      <w:r w:rsidR="00A65FCA">
        <w:rPr>
          <w:noProof/>
          <w:lang w:eastAsia="fr-FR"/>
        </w:rPr>
        <w:drawing>
          <wp:inline distT="0" distB="0" distL="0" distR="0">
            <wp:extent cx="2664480" cy="1948120"/>
            <wp:effectExtent l="19050" t="0" r="2520" b="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664480" cy="1948120"/>
                    </a:xfrm>
                    <a:prstGeom prst="rect">
                      <a:avLst/>
                    </a:prstGeom>
                    <a:noFill/>
                    <a:ln w="9525">
                      <a:noFill/>
                      <a:miter lim="800000"/>
                      <a:headEnd/>
                      <a:tailEnd/>
                    </a:ln>
                  </pic:spPr>
                </pic:pic>
              </a:graphicData>
            </a:graphic>
          </wp:inline>
        </w:drawing>
      </w:r>
    </w:p>
    <w:p w:rsidR="008B22D5" w:rsidRDefault="008B22D5" w:rsidP="008B22D5">
      <w:pPr>
        <w:pStyle w:val="Lgende"/>
      </w:pPr>
      <w:r>
        <w:t xml:space="preserve">Figure </w:t>
      </w:r>
      <w:fldSimple w:instr=" SEQ Figure \* ARABIC ">
        <w:r w:rsidR="00B34EA9">
          <w:rPr>
            <w:noProof/>
          </w:rPr>
          <w:t>10</w:t>
        </w:r>
      </w:fldSimple>
      <w:r>
        <w:t> : Pont suspendu de Tacoma entré en vibration, quatre mois après son inaugurati</w:t>
      </w:r>
      <w:r w:rsidR="00A65FCA">
        <w:t>on, images extraites de [</w:t>
      </w:r>
      <w:r w:rsidR="00D87554">
        <w:t>16</w:t>
      </w:r>
      <w:r w:rsidR="00A65FCA">
        <w:t>]</w:t>
      </w:r>
    </w:p>
    <w:p w:rsidR="008B22D5" w:rsidRPr="008B22D5" w:rsidRDefault="008B22D5" w:rsidP="008B22D5">
      <w:r w:rsidRPr="008B22D5">
        <w:t xml:space="preserve">Après l’effondrement du pont de Tacoma, les ingénieurs ont été extrêmement prudents : ils ont mené des études poussées et en particulier, ont justifié l’utilité des poutres de rigidité en treillis </w:t>
      </w:r>
      <w:r w:rsidRPr="008B22D5">
        <w:lastRenderedPageBreak/>
        <w:t xml:space="preserve">en tant que contreventement et leur dimensionnement. Des améliorations ont été apportées aux ponts déjà construits comme le Golden </w:t>
      </w:r>
      <w:proofErr w:type="spellStart"/>
      <w:r w:rsidRPr="008B22D5">
        <w:t>Gate</w:t>
      </w:r>
      <w:proofErr w:type="spellEnd"/>
      <w:r w:rsidRPr="008B22D5">
        <w:t xml:space="preserve"> Bridge. </w:t>
      </w:r>
    </w:p>
    <w:p w:rsidR="008B22D5" w:rsidRPr="008B22D5" w:rsidRDefault="008B22D5" w:rsidP="008B22D5">
      <w:r w:rsidRPr="008B22D5">
        <w:t>En parallèle des avancées américaines avec les tabliers en treillis, les anglais ont eu recours à des caissons profilés pour donner à leurs ponts une forme aérodynamique semblable à une aile d’avion inversée.</w:t>
      </w:r>
    </w:p>
    <w:p w:rsidR="0017456C" w:rsidRDefault="001B3B3C" w:rsidP="001B3B3C">
      <w:pPr>
        <w:pStyle w:val="Sansinterligne"/>
      </w:pPr>
      <w:r>
        <w:rPr>
          <w:noProof/>
          <w:lang w:eastAsia="fr-FR"/>
        </w:rPr>
        <w:t xml:space="preserve"> </w:t>
      </w:r>
      <w:r>
        <w:rPr>
          <w:noProof/>
          <w:lang w:eastAsia="fr-FR"/>
        </w:rPr>
        <w:drawing>
          <wp:inline distT="0" distB="0" distL="0" distR="0">
            <wp:extent cx="3152775" cy="2093983"/>
            <wp:effectExtent l="19050" t="0" r="9525" b="0"/>
            <wp:docPr id="32" name="Image 31" descr="The_Severn_Bridge_from_Beachley_Point_car_park_-_geograph.org.uk_-_17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Severn_Bridge_from_Beachley_Point_car_park_-_geograph.org.uk_-_1743048.jpg"/>
                    <pic:cNvPicPr/>
                  </pic:nvPicPr>
                  <pic:blipFill>
                    <a:blip r:embed="rId28" cstate="print"/>
                    <a:stretch>
                      <a:fillRect/>
                    </a:stretch>
                  </pic:blipFill>
                  <pic:spPr>
                    <a:xfrm>
                      <a:off x="0" y="0"/>
                      <a:ext cx="3149936" cy="2092097"/>
                    </a:xfrm>
                    <a:prstGeom prst="rect">
                      <a:avLst/>
                    </a:prstGeom>
                  </pic:spPr>
                </pic:pic>
              </a:graphicData>
            </a:graphic>
          </wp:inline>
        </w:drawing>
      </w:r>
      <w:r w:rsidR="0086190D" w:rsidRPr="0086190D">
        <w:t xml:space="preserve"> </w:t>
      </w:r>
      <w:r>
        <w:t xml:space="preserve">      </w:t>
      </w:r>
      <w:r w:rsidR="0086190D">
        <w:rPr>
          <w:noProof/>
          <w:lang w:eastAsia="fr-FR"/>
        </w:rPr>
        <w:drawing>
          <wp:inline distT="0" distB="0" distL="0" distR="0">
            <wp:extent cx="2590800" cy="2105025"/>
            <wp:effectExtent l="19050" t="0" r="0" b="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590800" cy="2105025"/>
                    </a:xfrm>
                    <a:prstGeom prst="rect">
                      <a:avLst/>
                    </a:prstGeom>
                    <a:noFill/>
                    <a:ln w="9525">
                      <a:noFill/>
                      <a:miter lim="800000"/>
                      <a:headEnd/>
                      <a:tailEnd/>
                    </a:ln>
                  </pic:spPr>
                </pic:pic>
              </a:graphicData>
            </a:graphic>
          </wp:inline>
        </w:drawing>
      </w: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394"/>
      </w:tblGrid>
      <w:tr w:rsidR="001B3B3C" w:rsidTr="001B3B3C">
        <w:tc>
          <w:tcPr>
            <w:tcW w:w="5495" w:type="dxa"/>
          </w:tcPr>
          <w:p w:rsidR="001B3B3C" w:rsidRDefault="001B3B3C" w:rsidP="00D87554">
            <w:pPr>
              <w:pStyle w:val="Lgende"/>
            </w:pPr>
            <w:r>
              <w:t xml:space="preserve">Figure </w:t>
            </w:r>
            <w:fldSimple w:instr=" SEQ Figure \* ARABIC ">
              <w:r w:rsidR="00B34EA9">
                <w:rPr>
                  <w:noProof/>
                </w:rPr>
                <w:t>11</w:t>
              </w:r>
            </w:fldSimple>
            <w:r>
              <w:t xml:space="preserve"> : Pont sur la Severn (entre l’Angleterre et le Pays de Galles) en caissons </w:t>
            </w:r>
            <w:r w:rsidRPr="008B22D5">
              <w:t>profilés</w:t>
            </w:r>
            <w:r>
              <w:t>, source [</w:t>
            </w:r>
            <w:r w:rsidR="00D87554">
              <w:t>17</w:t>
            </w:r>
            <w:r>
              <w:t xml:space="preserve">] </w:t>
            </w:r>
          </w:p>
        </w:tc>
        <w:tc>
          <w:tcPr>
            <w:tcW w:w="4394" w:type="dxa"/>
          </w:tcPr>
          <w:p w:rsidR="001B3B3C" w:rsidRDefault="001B3B3C" w:rsidP="008B22D5">
            <w:pPr>
              <w:pStyle w:val="Lgende"/>
            </w:pPr>
            <w:r>
              <w:t xml:space="preserve">Figure </w:t>
            </w:r>
            <w:fldSimple w:instr=" SEQ Figure \* ARABIC ">
              <w:r w:rsidR="00B34EA9">
                <w:rPr>
                  <w:noProof/>
                </w:rPr>
                <w:t>12</w:t>
              </w:r>
            </w:fldSimple>
            <w:r>
              <w:t xml:space="preserve"> : </w:t>
            </w:r>
            <w:r w:rsidRPr="00061FC5">
              <w:t>Principe des tabliers en caissons profilés</w:t>
            </w:r>
          </w:p>
        </w:tc>
      </w:tr>
    </w:tbl>
    <w:p w:rsidR="0017456C" w:rsidRPr="000940BB" w:rsidRDefault="000940BB" w:rsidP="000940BB">
      <w:pPr>
        <w:pStyle w:val="Titre1"/>
      </w:pPr>
      <w:r>
        <w:t>2 – 1 280 m : un long pont suspendu au-dessus de l’eau</w:t>
      </w:r>
    </w:p>
    <w:p w:rsidR="008B22D5" w:rsidRDefault="000940BB" w:rsidP="000940BB">
      <w:pPr>
        <w:pStyle w:val="Titre2"/>
      </w:pPr>
      <w:r>
        <w:t xml:space="preserve">2.1 - </w:t>
      </w:r>
      <w:r w:rsidR="00C71D76">
        <w:t xml:space="preserve">Le choix du Pont suspendu </w:t>
      </w:r>
      <w:r w:rsidR="00C71D76" w:rsidRPr="00514D5F">
        <w:t>pour</w:t>
      </w:r>
      <w:r w:rsidR="00C71D76">
        <w:t xml:space="preserve"> le Golden </w:t>
      </w:r>
      <w:proofErr w:type="spellStart"/>
      <w:r w:rsidR="00C71D76">
        <w:t>Gate</w:t>
      </w:r>
      <w:proofErr w:type="spellEnd"/>
      <w:r w:rsidR="00C71D76">
        <w:t xml:space="preserve"> Bridge</w:t>
      </w:r>
    </w:p>
    <w:p w:rsidR="000940BB" w:rsidRPr="000940BB" w:rsidRDefault="000940BB" w:rsidP="000940BB">
      <w:r w:rsidRPr="000940BB">
        <w:t xml:space="preserve">Le Golden </w:t>
      </w:r>
      <w:proofErr w:type="spellStart"/>
      <w:r w:rsidRPr="000940BB">
        <w:t>Gate</w:t>
      </w:r>
      <w:proofErr w:type="spellEnd"/>
      <w:r w:rsidRPr="000940BB">
        <w:t xml:space="preserve"> Bridge est un pont suspendu. Cependant, en 1921, Joseph B. Strauss avait proposé un nouveau type de pont de conception hybride comportant un tablier suspendu soutenu aux extrémités par des poutres Cantilever en treillis (</w:t>
      </w:r>
      <w:r w:rsidR="00E31920">
        <w:t>figure 1</w:t>
      </w:r>
      <w:r w:rsidR="00C71D76">
        <w:t>3</w:t>
      </w:r>
      <w:r w:rsidRPr="000940BB">
        <w:t xml:space="preserve">). C’est après un long temps de discussions que les ingénieurs conseils </w:t>
      </w:r>
      <w:proofErr w:type="spellStart"/>
      <w:r w:rsidRPr="000940BB">
        <w:t>Leon</w:t>
      </w:r>
      <w:proofErr w:type="spellEnd"/>
      <w:r w:rsidRPr="000940BB">
        <w:t xml:space="preserve"> S. </w:t>
      </w:r>
      <w:proofErr w:type="spellStart"/>
      <w:r w:rsidRPr="000940BB">
        <w:t>Moisseiff</w:t>
      </w:r>
      <w:proofErr w:type="spellEnd"/>
      <w:r w:rsidRPr="000940BB">
        <w:t xml:space="preserve"> et O.</w:t>
      </w:r>
      <w:r w:rsidR="00141ABA">
        <w:t xml:space="preserve">H. </w:t>
      </w:r>
      <w:proofErr w:type="spellStart"/>
      <w:r w:rsidR="00141ABA">
        <w:t>Ammann</w:t>
      </w:r>
      <w:proofErr w:type="spellEnd"/>
      <w:r w:rsidR="00141ABA">
        <w:t xml:space="preserve"> ont finalement réussi</w:t>
      </w:r>
      <w:r w:rsidRPr="000940BB">
        <w:t xml:space="preserve"> à orienter l’ingénieur en charge de l’ouvrage vers un pont intégralement suspendu. </w:t>
      </w:r>
    </w:p>
    <w:p w:rsidR="008B22D5" w:rsidRDefault="000940BB" w:rsidP="000940BB">
      <w:r w:rsidRPr="000940BB">
        <w:t>Avec une portée de 1</w:t>
      </w:r>
      <w:r>
        <w:t> </w:t>
      </w:r>
      <w:r w:rsidRPr="000940BB">
        <w:t xml:space="preserve">280 m, le choix d’un pont suspendu semble cohérent avec la </w:t>
      </w:r>
      <w:r>
        <w:t>f</w:t>
      </w:r>
      <w:r w:rsidR="00C71D76">
        <w:t>igure 6</w:t>
      </w:r>
      <w:r w:rsidRPr="000940BB">
        <w:t>. Un pont à haubans aurait aussi pu être envisagé</w:t>
      </w:r>
      <w:r w:rsidR="00141ABA">
        <w:t>.</w:t>
      </w:r>
      <w:r w:rsidRPr="000940BB">
        <w:t xml:space="preserve"> </w:t>
      </w:r>
      <w:r w:rsidR="00141ABA">
        <w:t>N</w:t>
      </w:r>
      <w:r w:rsidRPr="000940BB">
        <w:t xml:space="preserve">éanmoins, l’étude des ponts à haubans ne date que des années 1950, soit environ 20 ans après la construction du Golden </w:t>
      </w:r>
      <w:proofErr w:type="spellStart"/>
      <w:r w:rsidRPr="000940BB">
        <w:t>Gate</w:t>
      </w:r>
      <w:proofErr w:type="spellEnd"/>
      <w:r w:rsidRPr="000940BB">
        <w:t xml:space="preserve"> Bridge.</w:t>
      </w:r>
    </w:p>
    <w:p w:rsidR="000940BB" w:rsidRDefault="0076550B" w:rsidP="0076550B">
      <w:pPr>
        <w:pStyle w:val="Sansinterligne"/>
      </w:pPr>
      <w:r>
        <w:rPr>
          <w:noProof/>
          <w:lang w:eastAsia="fr-FR"/>
        </w:rPr>
        <w:drawing>
          <wp:inline distT="0" distB="0" distL="0" distR="0">
            <wp:extent cx="5227044" cy="2812648"/>
            <wp:effectExtent l="19050" t="0" r="0" b="0"/>
            <wp:docPr id="50" name="Image 25" descr="Résultat de recherche d'images pour &quot;construction of golden gate brid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construction of golden gate bridge&quot;"/>
                    <pic:cNvPicPr>
                      <a:picLocks noChangeAspect="1" noChangeArrowheads="1"/>
                    </pic:cNvPicPr>
                  </pic:nvPicPr>
                  <pic:blipFill>
                    <a:blip r:embed="rId30" cstate="print"/>
                    <a:srcRect/>
                    <a:stretch>
                      <a:fillRect/>
                    </a:stretch>
                  </pic:blipFill>
                  <pic:spPr bwMode="auto">
                    <a:xfrm>
                      <a:off x="0" y="0"/>
                      <a:ext cx="5234791" cy="2816817"/>
                    </a:xfrm>
                    <a:prstGeom prst="rect">
                      <a:avLst/>
                    </a:prstGeom>
                    <a:noFill/>
                    <a:ln w="9525">
                      <a:noFill/>
                      <a:miter lim="800000"/>
                      <a:headEnd/>
                      <a:tailEnd/>
                    </a:ln>
                  </pic:spPr>
                </pic:pic>
              </a:graphicData>
            </a:graphic>
          </wp:inline>
        </w:drawing>
      </w:r>
    </w:p>
    <w:p w:rsidR="000940BB" w:rsidRDefault="000940BB" w:rsidP="00F06665">
      <w:pPr>
        <w:pStyle w:val="Lgende"/>
      </w:pPr>
      <w:r w:rsidRPr="007F4175">
        <w:t xml:space="preserve">Figure </w:t>
      </w:r>
      <w:r w:rsidR="008104AD" w:rsidRPr="007F4175">
        <w:fldChar w:fldCharType="begin"/>
      </w:r>
      <w:r w:rsidR="0090771F" w:rsidRPr="007F4175">
        <w:instrText xml:space="preserve"> SEQ Figure \* ARABIC </w:instrText>
      </w:r>
      <w:r w:rsidR="008104AD" w:rsidRPr="007F4175">
        <w:fldChar w:fldCharType="separate"/>
      </w:r>
      <w:r w:rsidR="00B34EA9">
        <w:rPr>
          <w:noProof/>
        </w:rPr>
        <w:t>13</w:t>
      </w:r>
      <w:r w:rsidR="008104AD" w:rsidRPr="007F4175">
        <w:fldChar w:fldCharType="end"/>
      </w:r>
      <w:r w:rsidRPr="007F4175">
        <w:t> : Pont suspendu avec poutres Cantilever</w:t>
      </w:r>
      <w:r w:rsidR="00F06665" w:rsidRPr="007F4175">
        <w:t>, source [1</w:t>
      </w:r>
      <w:r w:rsidR="00D87554">
        <w:t>8</w:t>
      </w:r>
      <w:r w:rsidR="00F06665" w:rsidRPr="007F4175">
        <w:t>]</w:t>
      </w:r>
    </w:p>
    <w:p w:rsidR="00C71D76" w:rsidRDefault="00C71D76" w:rsidP="00C71D76">
      <w:pPr>
        <w:pStyle w:val="Titre2"/>
      </w:pPr>
      <w:r>
        <w:lastRenderedPageBreak/>
        <w:t xml:space="preserve">2.2 - Un défi à relever </w:t>
      </w:r>
      <w:r w:rsidRPr="00514D5F">
        <w:t>par</w:t>
      </w:r>
      <w:r>
        <w:t xml:space="preserve"> les ingénieurs</w:t>
      </w:r>
    </w:p>
    <w:p w:rsidR="00C71D76" w:rsidRDefault="00C71D76" w:rsidP="00C71D76">
      <w:r>
        <w:t xml:space="preserve">En 1933, la construction du pont du Golden </w:t>
      </w:r>
      <w:proofErr w:type="spellStart"/>
      <w:r>
        <w:t>Gate</w:t>
      </w:r>
      <w:proofErr w:type="spellEnd"/>
      <w:r>
        <w:t xml:space="preserve"> est une innovation colossale : ce pont suspendu d’une portée de 1 280 m représentait un défi puisqu’il se hissait au-dessus d’un détroit réputé pour ses nombreuses contraintes naturelles. Les ingénieurs ont donc dû prendre en compte les courants dangereux, les vents violents, le risque sismique, le </w:t>
      </w:r>
      <w:r w:rsidRPr="003E33EC">
        <w:t>brouillard marin</w:t>
      </w:r>
      <w:r>
        <w:t xml:space="preserve"> ainsi que les risques de corrosion liés au sel dans la phase de construction puis d’utilisation de l’ouvrage. Ce projet a aussi constitué un challenge dans le sens où « seulement » onze employés ont perdu la vie sur le chantier – chiffre très faible à l’époque ! </w:t>
      </w:r>
    </w:p>
    <w:p w:rsidR="00C71D76" w:rsidRDefault="00C71D76" w:rsidP="00C71D76">
      <w:r>
        <w:t>En pleine Grande Crise, des questions économiques et politiques se sont ajoutées aux défis techniques.</w:t>
      </w:r>
    </w:p>
    <w:p w:rsidR="00C71D76" w:rsidRDefault="00C71D76" w:rsidP="00C71D76">
      <w:pPr>
        <w:pStyle w:val="Sansinterligne"/>
      </w:pPr>
      <w:r>
        <w:rPr>
          <w:noProof/>
          <w:lang w:eastAsia="fr-FR"/>
        </w:rPr>
        <w:drawing>
          <wp:inline distT="0" distB="0" distL="0" distR="0">
            <wp:extent cx="2552700" cy="1675210"/>
            <wp:effectExtent l="19050" t="0" r="0" b="0"/>
            <wp:docPr id="22" name="Image 13" descr="http://www.meteo-paris.com/site/images/golden_gate_28_jui_1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teo-paris.com/site/images/golden_gate_28_jui_14_03.jpg"/>
                    <pic:cNvPicPr>
                      <a:picLocks noChangeAspect="1" noChangeArrowheads="1"/>
                    </pic:cNvPicPr>
                  </pic:nvPicPr>
                  <pic:blipFill>
                    <a:blip r:embed="rId31" cstate="print"/>
                    <a:srcRect/>
                    <a:stretch>
                      <a:fillRect/>
                    </a:stretch>
                  </pic:blipFill>
                  <pic:spPr bwMode="auto">
                    <a:xfrm>
                      <a:off x="0" y="0"/>
                      <a:ext cx="2552700" cy="167521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3514725" cy="1669495"/>
            <wp:effectExtent l="19050" t="0" r="9525" b="0"/>
            <wp:docPr id="23" name="Image 16" descr="http://goldengate.org/exhibits/images/GGB-exhibit3-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ldengate.org/exhibits/images/GGB-exhibit3-1_000.jpg"/>
                    <pic:cNvPicPr>
                      <a:picLocks noChangeAspect="1" noChangeArrowheads="1"/>
                    </pic:cNvPicPr>
                  </pic:nvPicPr>
                  <pic:blipFill>
                    <a:blip r:embed="rId32" cstate="print"/>
                    <a:srcRect/>
                    <a:stretch>
                      <a:fillRect/>
                    </a:stretch>
                  </pic:blipFill>
                  <pic:spPr bwMode="auto">
                    <a:xfrm>
                      <a:off x="0" y="0"/>
                      <a:ext cx="3514725" cy="1669495"/>
                    </a:xfrm>
                    <a:prstGeom prst="rect">
                      <a:avLst/>
                    </a:prstGeom>
                    <a:noFill/>
                    <a:ln w="9525">
                      <a:noFill/>
                      <a:miter lim="800000"/>
                      <a:headEnd/>
                      <a:tailEnd/>
                    </a:ln>
                  </pic:spPr>
                </pic:pic>
              </a:graphicData>
            </a:graphic>
          </wp:inline>
        </w:drawing>
      </w:r>
      <w:r>
        <w:rPr>
          <w:noProof/>
          <w:lang w:eastAsia="fr-FR"/>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670"/>
      </w:tblGrid>
      <w:tr w:rsidR="00C71D76" w:rsidTr="00EE413E">
        <w:tc>
          <w:tcPr>
            <w:tcW w:w="4219" w:type="dxa"/>
          </w:tcPr>
          <w:p w:rsidR="00C71D76" w:rsidRDefault="00C71D76" w:rsidP="00EE413E">
            <w:pPr>
              <w:pStyle w:val="Lgende"/>
            </w:pPr>
            <w:r>
              <w:t xml:space="preserve">Figure </w:t>
            </w:r>
            <w:fldSimple w:instr=" SEQ Figure \* ARABIC ">
              <w:r w:rsidR="00B34EA9">
                <w:rPr>
                  <w:noProof/>
                </w:rPr>
                <w:t>14</w:t>
              </w:r>
            </w:fldSimple>
            <w:r>
              <w:t xml:space="preserve"> : Le </w:t>
            </w:r>
            <w:r w:rsidRPr="00DD3BAB">
              <w:t>Golden</w:t>
            </w:r>
            <w:r>
              <w:t xml:space="preserve"> </w:t>
            </w:r>
            <w:proofErr w:type="spellStart"/>
            <w:r>
              <w:t>Gate</w:t>
            </w:r>
            <w:proofErr w:type="spellEnd"/>
            <w:r>
              <w:t xml:space="preserve"> Bridge dans le brouillard, source [</w:t>
            </w:r>
            <w:r w:rsidR="00D87554">
              <w:t>1</w:t>
            </w:r>
            <w:r>
              <w:t>9]</w:t>
            </w:r>
          </w:p>
        </w:tc>
        <w:tc>
          <w:tcPr>
            <w:tcW w:w="5670" w:type="dxa"/>
          </w:tcPr>
          <w:p w:rsidR="00C71D76" w:rsidRDefault="00C71D76" w:rsidP="00D87554">
            <w:pPr>
              <w:pStyle w:val="Lgende"/>
            </w:pPr>
            <w:r>
              <w:t xml:space="preserve">Figure </w:t>
            </w:r>
            <w:fldSimple w:instr=" SEQ Figure \* ARABIC ">
              <w:r w:rsidR="00B34EA9">
                <w:rPr>
                  <w:noProof/>
                </w:rPr>
                <w:t>15</w:t>
              </w:r>
            </w:fldSimple>
            <w:r>
              <w:t xml:space="preserve"> : Le détroit de Golden </w:t>
            </w:r>
            <w:proofErr w:type="spellStart"/>
            <w:r>
              <w:t>Gate</w:t>
            </w:r>
            <w:proofErr w:type="spellEnd"/>
            <w:r>
              <w:t xml:space="preserve"> au début de la construction du pont, source [1</w:t>
            </w:r>
            <w:r w:rsidR="00D87554">
              <w:t>8</w:t>
            </w:r>
            <w:r>
              <w:t>]</w:t>
            </w:r>
          </w:p>
        </w:tc>
      </w:tr>
    </w:tbl>
    <w:p w:rsidR="000940BB" w:rsidRPr="000940BB" w:rsidRDefault="000940BB" w:rsidP="00A14108">
      <w:pPr>
        <w:pStyle w:val="Titre2"/>
        <w:spacing w:before="240"/>
      </w:pPr>
      <w:r>
        <w:t xml:space="preserve">2.3 - Dimensionnement et </w:t>
      </w:r>
      <w:r w:rsidRPr="00514D5F">
        <w:t>conception</w:t>
      </w:r>
      <w:r>
        <w:t xml:space="preserve"> du Pont de La Porte d’Or</w:t>
      </w:r>
    </w:p>
    <w:p w:rsidR="008B22D5" w:rsidRDefault="000940BB" w:rsidP="008B22D5">
      <w:r>
        <w:t xml:space="preserve">Le tablier du Golden </w:t>
      </w:r>
      <w:proofErr w:type="spellStart"/>
      <w:r>
        <w:t>Gate</w:t>
      </w:r>
      <w:proofErr w:type="spellEnd"/>
      <w:r>
        <w:t xml:space="preserve"> Bridge est donc suspendu, par l’intermédiaire de suspentes, à deux câbles principaux (un de chaque côté) ancrés dans le sol de part et d’autre du détroit de Golden </w:t>
      </w:r>
      <w:proofErr w:type="spellStart"/>
      <w:r>
        <w:t>Gate</w:t>
      </w:r>
      <w:proofErr w:type="spellEnd"/>
      <w:r>
        <w:t xml:space="preserve"> et passant sur deux pylônes.</w:t>
      </w:r>
    </w:p>
    <w:p w:rsidR="000940BB" w:rsidRDefault="008634D9" w:rsidP="008634D9">
      <w:pPr>
        <w:pStyle w:val="Sansinterligne"/>
      </w:pPr>
      <w:r>
        <w:rPr>
          <w:noProof/>
          <w:lang w:eastAsia="fr-FR"/>
        </w:rPr>
        <w:drawing>
          <wp:inline distT="0" distB="0" distL="0" distR="0">
            <wp:extent cx="6192520" cy="1649730"/>
            <wp:effectExtent l="19050" t="0" r="0" b="0"/>
            <wp:docPr id="1" name="Image 0" descr="fig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33" cstate="print"/>
                    <a:stretch>
                      <a:fillRect/>
                    </a:stretch>
                  </pic:blipFill>
                  <pic:spPr>
                    <a:xfrm>
                      <a:off x="0" y="0"/>
                      <a:ext cx="6192520" cy="1649730"/>
                    </a:xfrm>
                    <a:prstGeom prst="rect">
                      <a:avLst/>
                    </a:prstGeom>
                  </pic:spPr>
                </pic:pic>
              </a:graphicData>
            </a:graphic>
          </wp:inline>
        </w:drawing>
      </w:r>
    </w:p>
    <w:p w:rsidR="000940BB" w:rsidRPr="008634D9" w:rsidRDefault="000940BB" w:rsidP="008634D9">
      <w:pPr>
        <w:pStyle w:val="Lgende"/>
      </w:pPr>
      <w:r>
        <w:t xml:space="preserve">Figure </w:t>
      </w:r>
      <w:fldSimple w:instr=" SEQ Figure \* ARABIC ">
        <w:r w:rsidR="00B34EA9">
          <w:rPr>
            <w:noProof/>
          </w:rPr>
          <w:t>16</w:t>
        </w:r>
      </w:fldSimple>
      <w:r>
        <w:t xml:space="preserve"> : Schéma du Golden </w:t>
      </w:r>
      <w:proofErr w:type="spellStart"/>
      <w:r>
        <w:t>Gate</w:t>
      </w:r>
      <w:proofErr w:type="spellEnd"/>
      <w:r>
        <w:t xml:space="preserve"> Bridge avec les différentes longueurs</w:t>
      </w:r>
      <w:r w:rsidR="008634D9">
        <w:t>, source [20]</w:t>
      </w:r>
    </w:p>
    <w:p w:rsidR="008B22D5" w:rsidRDefault="000940BB" w:rsidP="008B22D5">
      <w:r>
        <w:t xml:space="preserve">Les calculs de dimensionnement ont été menés par les ingénieurs Charles A. Ellis et </w:t>
      </w:r>
      <w:proofErr w:type="spellStart"/>
      <w:r>
        <w:t>Moisseif</w:t>
      </w:r>
      <w:proofErr w:type="spellEnd"/>
      <w:r>
        <w:t xml:space="preserve">, </w:t>
      </w:r>
      <w:r w:rsidR="00387403">
        <w:t>évidement sans aide informatique</w:t>
      </w:r>
      <w:r>
        <w:t>. Il s’agissait donc d’un travail complexe et difficile : l’outil le plus moderne étant la règle de calcul. Une maquette des pylônes d’acier à l’éc</w:t>
      </w:r>
      <w:r w:rsidR="00387403">
        <w:t>helle 1</w:t>
      </w:r>
      <w:r>
        <w:t xml:space="preserve">:56 a été réalisée pour vérifier les calculs par l’intermédiaire d’essais. Il a par ailleurs fallu contrôler la géologie du pylône sud, situé à plus de 335 m au large sur une roche </w:t>
      </w:r>
      <w:proofErr w:type="spellStart"/>
      <w:r>
        <w:t>serpentinique</w:t>
      </w:r>
      <w:proofErr w:type="spellEnd"/>
      <w:r>
        <w:t xml:space="preserve"> (roche peu dure). Un test de charge a donc été mené en plaçant un wagon couvert (transport de marchandises) chargé sur une surface de 0,260 m². Le sol a résisté.</w:t>
      </w:r>
    </w:p>
    <w:p w:rsidR="000940BB" w:rsidRDefault="000940BB" w:rsidP="000940BB">
      <w:pPr>
        <w:pStyle w:val="Titre3"/>
      </w:pPr>
      <w:r>
        <w:t>Définition et calcul des charges</w:t>
      </w:r>
    </w:p>
    <w:p w:rsidR="000940BB" w:rsidRPr="000940BB" w:rsidRDefault="000940BB" w:rsidP="000940BB">
      <w:r w:rsidRPr="000940BB">
        <w:t xml:space="preserve">Les charges les plus importantes à considérer pour le pont sont : </w:t>
      </w:r>
    </w:p>
    <w:p w:rsidR="000940BB" w:rsidRPr="000940BB" w:rsidRDefault="00387403" w:rsidP="00387403">
      <w:pPr>
        <w:pStyle w:val="Paragraphedeliste"/>
        <w:numPr>
          <w:ilvl w:val="0"/>
          <w:numId w:val="7"/>
        </w:numPr>
        <w:spacing w:before="120"/>
        <w:ind w:left="714" w:hanging="357"/>
      </w:pPr>
      <w:r>
        <w:lastRenderedPageBreak/>
        <w:t>l</w:t>
      </w:r>
      <w:r w:rsidR="000940BB" w:rsidRPr="000940BB">
        <w:t>e poids-propre</w:t>
      </w:r>
      <w:r>
        <w:t> ;</w:t>
      </w:r>
      <w:r w:rsidR="000940BB" w:rsidRPr="000940BB">
        <w:t xml:space="preserve"> </w:t>
      </w:r>
    </w:p>
    <w:p w:rsidR="000940BB" w:rsidRPr="000940BB" w:rsidRDefault="00387403" w:rsidP="00387403">
      <w:pPr>
        <w:pStyle w:val="Paragraphedeliste"/>
        <w:numPr>
          <w:ilvl w:val="0"/>
          <w:numId w:val="7"/>
        </w:numPr>
      </w:pPr>
      <w:r>
        <w:t>l</w:t>
      </w:r>
      <w:r w:rsidR="000940BB" w:rsidRPr="000940BB">
        <w:t>es charges permanentes</w:t>
      </w:r>
      <w:r>
        <w:t> ;</w:t>
      </w:r>
      <w:r w:rsidR="000940BB" w:rsidRPr="000940BB">
        <w:t xml:space="preserve"> </w:t>
      </w:r>
    </w:p>
    <w:p w:rsidR="000940BB" w:rsidRPr="000940BB" w:rsidRDefault="00387403" w:rsidP="00387403">
      <w:pPr>
        <w:pStyle w:val="Paragraphedeliste"/>
        <w:numPr>
          <w:ilvl w:val="0"/>
          <w:numId w:val="7"/>
        </w:numPr>
      </w:pPr>
      <w:r>
        <w:t>l</w:t>
      </w:r>
      <w:r w:rsidR="000940BB" w:rsidRPr="000940BB">
        <w:t>e trafic</w:t>
      </w:r>
      <w:r>
        <w:t> ;</w:t>
      </w:r>
      <w:r w:rsidR="000940BB" w:rsidRPr="000940BB">
        <w:t xml:space="preserve"> </w:t>
      </w:r>
    </w:p>
    <w:p w:rsidR="000940BB" w:rsidRPr="000940BB" w:rsidRDefault="00387403" w:rsidP="00387403">
      <w:pPr>
        <w:pStyle w:val="Paragraphedeliste"/>
        <w:numPr>
          <w:ilvl w:val="0"/>
          <w:numId w:val="7"/>
        </w:numPr>
      </w:pPr>
      <w:r>
        <w:t>l</w:t>
      </w:r>
      <w:r w:rsidR="000940BB" w:rsidRPr="000940BB">
        <w:t>e vent</w:t>
      </w:r>
      <w:r>
        <w:t> ;</w:t>
      </w:r>
      <w:r w:rsidR="000940BB" w:rsidRPr="000940BB">
        <w:t xml:space="preserve"> </w:t>
      </w:r>
    </w:p>
    <w:p w:rsidR="000940BB" w:rsidRPr="000940BB" w:rsidRDefault="00387403" w:rsidP="00387403">
      <w:pPr>
        <w:pStyle w:val="Paragraphedeliste"/>
        <w:numPr>
          <w:ilvl w:val="0"/>
          <w:numId w:val="7"/>
        </w:numPr>
      </w:pPr>
      <w:r>
        <w:t>l</w:t>
      </w:r>
      <w:r w:rsidR="000940BB" w:rsidRPr="000940BB">
        <w:t>es effets thermiques</w:t>
      </w:r>
      <w:r>
        <w:t>.</w:t>
      </w:r>
    </w:p>
    <w:p w:rsidR="0049337A" w:rsidRPr="0049337A" w:rsidRDefault="0049337A" w:rsidP="007355FB">
      <w:pPr>
        <w:spacing w:before="0" w:after="0"/>
      </w:pPr>
      <w:r w:rsidRPr="0049337A">
        <w:t>Dans le cadre du dimensionnement à ELU, les charges définies ci-dessus sont à majorer par les coefficients de sécurité répertoriés dans le tableau 1.</w:t>
      </w:r>
      <w:r w:rsidR="00C81C46">
        <w:t xml:space="preserve"> Ces coefficients de sécurité sont directement inclus dans le calcul </w:t>
      </w:r>
      <w:r w:rsidR="007355FB">
        <w:t xml:space="preserve">des charges permanentes et des charges </w:t>
      </w:r>
      <w:r w:rsidR="00C81C46">
        <w:t>de trafic présentés ci-après.</w:t>
      </w:r>
    </w:p>
    <w:tbl>
      <w:tblPr>
        <w:tblStyle w:val="Grilledutableau"/>
        <w:tblW w:w="0" w:type="auto"/>
        <w:tblInd w:w="392" w:type="dxa"/>
        <w:tblLook w:val="04A0"/>
      </w:tblPr>
      <w:tblGrid>
        <w:gridCol w:w="4219"/>
        <w:gridCol w:w="2473"/>
        <w:gridCol w:w="2473"/>
      </w:tblGrid>
      <w:tr w:rsidR="0049337A" w:rsidRPr="0049337A" w:rsidTr="00362A9A">
        <w:tc>
          <w:tcPr>
            <w:tcW w:w="4219" w:type="dxa"/>
            <w:tcBorders>
              <w:top w:val="nil"/>
              <w:left w:val="nil"/>
            </w:tcBorders>
          </w:tcPr>
          <w:p w:rsidR="0049337A" w:rsidRPr="0049337A" w:rsidRDefault="0049337A" w:rsidP="00362A9A">
            <w:pPr>
              <w:spacing w:before="40" w:after="40"/>
              <w:jc w:val="center"/>
            </w:pPr>
          </w:p>
        </w:tc>
        <w:tc>
          <w:tcPr>
            <w:tcW w:w="2473" w:type="dxa"/>
            <w:shd w:val="clear" w:color="auto" w:fill="D3EAF0" w:themeFill="accent1" w:themeFillTint="33"/>
          </w:tcPr>
          <w:p w:rsidR="0049337A" w:rsidRPr="0049337A" w:rsidRDefault="0049337A" w:rsidP="00362A9A">
            <w:pPr>
              <w:spacing w:before="40" w:after="40"/>
              <w:jc w:val="center"/>
            </w:pPr>
            <w:r w:rsidRPr="0049337A">
              <w:rPr>
                <w:rFonts w:ascii="Symbol" w:hAnsi="Symbol"/>
                <w:i/>
              </w:rPr>
              <w:t></w:t>
            </w:r>
            <w:r w:rsidRPr="0049337A">
              <w:rPr>
                <w:rStyle w:val="Emphaseple"/>
              </w:rPr>
              <w:t>f3</w:t>
            </w:r>
          </w:p>
        </w:tc>
        <w:tc>
          <w:tcPr>
            <w:tcW w:w="2473" w:type="dxa"/>
            <w:shd w:val="clear" w:color="auto" w:fill="D3EAF0" w:themeFill="accent1" w:themeFillTint="33"/>
          </w:tcPr>
          <w:p w:rsidR="0049337A" w:rsidRPr="0049337A" w:rsidRDefault="0049337A" w:rsidP="00362A9A">
            <w:pPr>
              <w:spacing w:before="40" w:after="40"/>
              <w:jc w:val="center"/>
            </w:pPr>
            <w:r w:rsidRPr="0049337A">
              <w:rPr>
                <w:rFonts w:ascii="Symbol" w:hAnsi="Symbol"/>
                <w:i/>
              </w:rPr>
              <w:t></w:t>
            </w:r>
            <w:proofErr w:type="spellStart"/>
            <w:r w:rsidRPr="0049337A">
              <w:rPr>
                <w:rStyle w:val="Emphaseple"/>
              </w:rPr>
              <w:t>fl</w:t>
            </w:r>
            <w:proofErr w:type="spellEnd"/>
          </w:p>
        </w:tc>
      </w:tr>
      <w:tr w:rsidR="0049337A" w:rsidRPr="0049337A" w:rsidTr="00362A9A">
        <w:tc>
          <w:tcPr>
            <w:tcW w:w="4219" w:type="dxa"/>
            <w:shd w:val="clear" w:color="auto" w:fill="D3EAF0" w:themeFill="accent1" w:themeFillTint="33"/>
          </w:tcPr>
          <w:p w:rsidR="0049337A" w:rsidRPr="0049337A" w:rsidRDefault="0049337A" w:rsidP="00362A9A">
            <w:pPr>
              <w:spacing w:before="40" w:after="40"/>
              <w:jc w:val="center"/>
            </w:pPr>
            <w:r w:rsidRPr="0049337A">
              <w:t>Poids-propre et charges permanentes</w:t>
            </w:r>
          </w:p>
        </w:tc>
        <w:tc>
          <w:tcPr>
            <w:tcW w:w="2473" w:type="dxa"/>
          </w:tcPr>
          <w:p w:rsidR="0049337A" w:rsidRPr="0049337A" w:rsidRDefault="0049337A" w:rsidP="00362A9A">
            <w:pPr>
              <w:spacing w:before="40" w:after="40"/>
              <w:jc w:val="center"/>
            </w:pPr>
            <w:r w:rsidRPr="0049337A">
              <w:t>1,10</w:t>
            </w:r>
          </w:p>
        </w:tc>
        <w:tc>
          <w:tcPr>
            <w:tcW w:w="2473" w:type="dxa"/>
          </w:tcPr>
          <w:p w:rsidR="0049337A" w:rsidRPr="0049337A" w:rsidRDefault="0049337A" w:rsidP="00362A9A">
            <w:pPr>
              <w:spacing w:before="40" w:after="40"/>
              <w:jc w:val="center"/>
            </w:pPr>
            <w:r w:rsidRPr="0049337A">
              <w:t>1,05</w:t>
            </w:r>
          </w:p>
        </w:tc>
      </w:tr>
      <w:tr w:rsidR="0049337A" w:rsidRPr="0049337A" w:rsidTr="00362A9A">
        <w:tc>
          <w:tcPr>
            <w:tcW w:w="4219" w:type="dxa"/>
            <w:shd w:val="clear" w:color="auto" w:fill="D3EAF0" w:themeFill="accent1" w:themeFillTint="33"/>
          </w:tcPr>
          <w:p w:rsidR="0049337A" w:rsidRPr="0049337A" w:rsidRDefault="0049337A" w:rsidP="00362A9A">
            <w:pPr>
              <w:spacing w:before="40" w:after="40"/>
              <w:jc w:val="center"/>
            </w:pPr>
            <w:r w:rsidRPr="0049337A">
              <w:t>Surcharges permanentes</w:t>
            </w:r>
          </w:p>
        </w:tc>
        <w:tc>
          <w:tcPr>
            <w:tcW w:w="2473" w:type="dxa"/>
          </w:tcPr>
          <w:p w:rsidR="0049337A" w:rsidRPr="0049337A" w:rsidRDefault="0049337A" w:rsidP="00362A9A">
            <w:pPr>
              <w:spacing w:before="40" w:after="40"/>
              <w:jc w:val="center"/>
            </w:pPr>
            <w:r w:rsidRPr="0049337A">
              <w:t>1,10</w:t>
            </w:r>
          </w:p>
        </w:tc>
        <w:tc>
          <w:tcPr>
            <w:tcW w:w="2473" w:type="dxa"/>
          </w:tcPr>
          <w:p w:rsidR="0049337A" w:rsidRPr="0049337A" w:rsidRDefault="0049337A" w:rsidP="00362A9A">
            <w:pPr>
              <w:spacing w:before="40" w:after="40"/>
              <w:jc w:val="center"/>
            </w:pPr>
            <w:r w:rsidRPr="0049337A">
              <w:t>1,75</w:t>
            </w:r>
          </w:p>
        </w:tc>
      </w:tr>
      <w:tr w:rsidR="0049337A" w:rsidRPr="0049337A" w:rsidTr="00362A9A">
        <w:tc>
          <w:tcPr>
            <w:tcW w:w="4219" w:type="dxa"/>
            <w:shd w:val="clear" w:color="auto" w:fill="D3EAF0" w:themeFill="accent1" w:themeFillTint="33"/>
          </w:tcPr>
          <w:p w:rsidR="0049337A" w:rsidRPr="0049337A" w:rsidRDefault="0049337A" w:rsidP="00362A9A">
            <w:pPr>
              <w:spacing w:before="40" w:after="40"/>
              <w:jc w:val="center"/>
            </w:pPr>
            <w:r w:rsidRPr="0049337A">
              <w:t>Trafic</w:t>
            </w:r>
          </w:p>
        </w:tc>
        <w:tc>
          <w:tcPr>
            <w:tcW w:w="2473" w:type="dxa"/>
          </w:tcPr>
          <w:p w:rsidR="0049337A" w:rsidRPr="0049337A" w:rsidRDefault="0049337A" w:rsidP="00362A9A">
            <w:pPr>
              <w:spacing w:before="40" w:after="40"/>
              <w:jc w:val="center"/>
            </w:pPr>
            <w:r w:rsidRPr="0049337A">
              <w:t>1,10</w:t>
            </w:r>
          </w:p>
        </w:tc>
        <w:tc>
          <w:tcPr>
            <w:tcW w:w="2473" w:type="dxa"/>
          </w:tcPr>
          <w:p w:rsidR="0049337A" w:rsidRPr="0049337A" w:rsidRDefault="0049337A" w:rsidP="00362A9A">
            <w:pPr>
              <w:spacing w:before="40" w:after="40"/>
              <w:jc w:val="center"/>
            </w:pPr>
            <w:r w:rsidRPr="0049337A">
              <w:t>1,30</w:t>
            </w:r>
          </w:p>
        </w:tc>
      </w:tr>
      <w:tr w:rsidR="0049337A" w:rsidRPr="0049337A" w:rsidTr="00362A9A">
        <w:tc>
          <w:tcPr>
            <w:tcW w:w="4219" w:type="dxa"/>
            <w:shd w:val="clear" w:color="auto" w:fill="D3EAF0" w:themeFill="accent1" w:themeFillTint="33"/>
          </w:tcPr>
          <w:p w:rsidR="0049337A" w:rsidRPr="0049337A" w:rsidRDefault="0049337A" w:rsidP="00362A9A">
            <w:pPr>
              <w:spacing w:before="40" w:after="40"/>
              <w:jc w:val="center"/>
            </w:pPr>
            <w:r w:rsidRPr="0049337A">
              <w:t>Vent</w:t>
            </w:r>
          </w:p>
        </w:tc>
        <w:tc>
          <w:tcPr>
            <w:tcW w:w="2473" w:type="dxa"/>
          </w:tcPr>
          <w:p w:rsidR="0049337A" w:rsidRPr="0049337A" w:rsidRDefault="0049337A" w:rsidP="00362A9A">
            <w:pPr>
              <w:spacing w:before="40" w:after="40"/>
              <w:jc w:val="center"/>
            </w:pPr>
            <w:r w:rsidRPr="0049337A">
              <w:t>1,10</w:t>
            </w:r>
          </w:p>
        </w:tc>
        <w:tc>
          <w:tcPr>
            <w:tcW w:w="2473" w:type="dxa"/>
          </w:tcPr>
          <w:p w:rsidR="0049337A" w:rsidRPr="0049337A" w:rsidRDefault="0049337A" w:rsidP="00362A9A">
            <w:pPr>
              <w:spacing w:before="40" w:after="40"/>
              <w:jc w:val="center"/>
            </w:pPr>
            <w:r w:rsidRPr="0049337A">
              <w:t>1,10</w:t>
            </w:r>
          </w:p>
        </w:tc>
      </w:tr>
      <w:tr w:rsidR="0049337A" w:rsidRPr="0049337A" w:rsidTr="00362A9A">
        <w:tc>
          <w:tcPr>
            <w:tcW w:w="4219" w:type="dxa"/>
            <w:shd w:val="clear" w:color="auto" w:fill="D3EAF0" w:themeFill="accent1" w:themeFillTint="33"/>
          </w:tcPr>
          <w:p w:rsidR="0049337A" w:rsidRPr="0049337A" w:rsidRDefault="0049337A" w:rsidP="00362A9A">
            <w:pPr>
              <w:spacing w:before="40" w:after="40"/>
              <w:jc w:val="center"/>
            </w:pPr>
            <w:r w:rsidRPr="0049337A">
              <w:t>Effets thermiques</w:t>
            </w:r>
          </w:p>
        </w:tc>
        <w:tc>
          <w:tcPr>
            <w:tcW w:w="2473" w:type="dxa"/>
          </w:tcPr>
          <w:p w:rsidR="0049337A" w:rsidRPr="0049337A" w:rsidRDefault="0049337A" w:rsidP="00362A9A">
            <w:pPr>
              <w:spacing w:before="40" w:after="40"/>
              <w:jc w:val="center"/>
            </w:pPr>
            <w:r w:rsidRPr="0049337A">
              <w:t>1,10</w:t>
            </w:r>
          </w:p>
        </w:tc>
        <w:tc>
          <w:tcPr>
            <w:tcW w:w="2473" w:type="dxa"/>
          </w:tcPr>
          <w:p w:rsidR="0049337A" w:rsidRPr="0049337A" w:rsidRDefault="0049337A" w:rsidP="00362A9A">
            <w:pPr>
              <w:spacing w:before="40" w:after="40"/>
              <w:jc w:val="center"/>
            </w:pPr>
            <w:r w:rsidRPr="0049337A">
              <w:t>1,00</w:t>
            </w:r>
          </w:p>
        </w:tc>
      </w:tr>
    </w:tbl>
    <w:p w:rsidR="0049337A" w:rsidRDefault="0049337A" w:rsidP="0049337A">
      <w:pPr>
        <w:pStyle w:val="Lgende"/>
        <w:spacing w:before="120"/>
      </w:pPr>
      <w:r w:rsidRPr="0049337A">
        <w:t>Tableau 1 : Coefficients partiels de sécurité pour le dimensionnement à l’ELU d’après [21]</w:t>
      </w:r>
    </w:p>
    <w:p w:rsidR="00125D0B" w:rsidRPr="00601E56" w:rsidRDefault="00125D0B" w:rsidP="00601E56">
      <w:pPr>
        <w:rPr>
          <w:b/>
        </w:rPr>
      </w:pPr>
      <w:r w:rsidRPr="00601E56">
        <w:rPr>
          <w:b/>
        </w:rPr>
        <w:t xml:space="preserve">Poids propre, charges permanentes et surcharges permanentes </w:t>
      </w:r>
      <w:r w:rsidR="000161BD">
        <w:rPr>
          <w:b/>
        </w:rPr>
        <w:t xml:space="preserve">[21] </w:t>
      </w:r>
      <w:r w:rsidRPr="00601E56">
        <w:rPr>
          <w:b/>
        </w:rPr>
        <w:t xml:space="preserve">: </w:t>
      </w:r>
    </w:p>
    <w:p w:rsidR="00601E56" w:rsidRDefault="00601E56" w:rsidP="00601E56">
      <w:pPr>
        <w:spacing w:before="0" w:after="0"/>
      </w:pPr>
      <w:r>
        <w:t>Données :</w:t>
      </w:r>
    </w:p>
    <w:p w:rsidR="00125D0B" w:rsidRPr="00125D0B" w:rsidRDefault="00601E56" w:rsidP="00601E56">
      <w:pPr>
        <w:pStyle w:val="Paragraphedeliste"/>
        <w:numPr>
          <w:ilvl w:val="0"/>
          <w:numId w:val="10"/>
        </w:numPr>
        <w:spacing w:before="0"/>
        <w:ind w:left="714" w:hanging="357"/>
      </w:pPr>
      <w:r>
        <w:t>m</w:t>
      </w:r>
      <w:r w:rsidR="00125D0B" w:rsidRPr="00125D0B">
        <w:t>asse de la structure suspendue : 21 772 000 kg</w:t>
      </w:r>
      <w:r>
        <w:t> ;</w:t>
      </w:r>
    </w:p>
    <w:p w:rsidR="00125D0B" w:rsidRPr="00125D0B" w:rsidRDefault="00601E56" w:rsidP="00601E56">
      <w:pPr>
        <w:pStyle w:val="Paragraphedeliste"/>
        <w:numPr>
          <w:ilvl w:val="0"/>
          <w:numId w:val="10"/>
        </w:numPr>
      </w:pPr>
      <w:r>
        <w:t>m</w:t>
      </w:r>
      <w:r w:rsidR="00125D0B" w:rsidRPr="00125D0B">
        <w:t>asse du revêtement béton : 19</w:t>
      </w:r>
      <w:r>
        <w:t> </w:t>
      </w:r>
      <w:r w:rsidR="00125D0B" w:rsidRPr="00125D0B">
        <w:t>119 kg</w:t>
      </w:r>
      <w:r>
        <w:t> ;</w:t>
      </w:r>
    </w:p>
    <w:p w:rsidR="00125D0B" w:rsidRPr="00125D0B" w:rsidRDefault="00601E56" w:rsidP="00601E56">
      <w:pPr>
        <w:pStyle w:val="Paragraphedeliste"/>
        <w:numPr>
          <w:ilvl w:val="0"/>
          <w:numId w:val="10"/>
        </w:numPr>
      </w:pPr>
      <w:r>
        <w:t>p</w:t>
      </w:r>
      <w:r w:rsidR="00125D0B" w:rsidRPr="00125D0B">
        <w:t>ortée : 1</w:t>
      </w:r>
      <w:r>
        <w:t> </w:t>
      </w:r>
      <w:r w:rsidR="00125D0B" w:rsidRPr="00125D0B">
        <w:t>280 m</w:t>
      </w:r>
      <w:r>
        <w:t>.</w:t>
      </w:r>
      <w:r w:rsidR="00125D0B" w:rsidRPr="00125D0B">
        <w:t xml:space="preserve"> </w:t>
      </w:r>
    </w:p>
    <w:p w:rsidR="000161BD" w:rsidRDefault="00125D0B" w:rsidP="000161BD">
      <w:r w:rsidRPr="00125D0B">
        <w:t>Ainsi, on obtient pour le poids prop</w:t>
      </w:r>
      <w:r w:rsidR="000161BD">
        <w:t>re, comme charge permanente :</w:t>
      </w:r>
    </w:p>
    <w:p w:rsidR="000161BD" w:rsidRDefault="000161BD" w:rsidP="000161BD">
      <m:oMathPara>
        <m:oMath>
          <m:r>
            <w:rPr>
              <w:rFonts w:ascii="Cambria Math" w:hAnsi="Cambria Math"/>
            </w:rPr>
            <m:t>Q</m:t>
          </m:r>
          <m:r>
            <w:rPr>
              <w:rFonts w:ascii="Cambria Math"/>
            </w:rPr>
            <m:t xml:space="preserve">= </m:t>
          </m:r>
          <m:f>
            <m:fPr>
              <m:ctrlPr>
                <w:rPr>
                  <w:rFonts w:ascii="Cambria Math" w:hAnsi="Cambria Math"/>
                  <w:i/>
                </w:rPr>
              </m:ctrlPr>
            </m:fPr>
            <m:num>
              <m:r>
                <w:rPr>
                  <w:rFonts w:ascii="Cambria Math"/>
                </w:rPr>
                <m:t>21 772</m:t>
              </m:r>
              <m:r>
                <m:t> </m:t>
              </m:r>
              <m:r>
                <w:rPr>
                  <w:rFonts w:ascii="Cambria Math"/>
                </w:rPr>
                <m:t>000+19 115</m:t>
              </m:r>
            </m:num>
            <m:den>
              <m:r>
                <w:rPr>
                  <w:rFonts w:ascii="Cambria Math"/>
                </w:rPr>
                <m:t>1 280</m:t>
              </m:r>
            </m:den>
          </m:f>
          <m:r>
            <w:rPr>
              <w:rFonts w:eastAsiaTheme="minorEastAsia"/>
            </w:rPr>
            <m:t>×</m:t>
          </m:r>
          <m:r>
            <w:rPr>
              <w:rFonts w:ascii="Cambria Math" w:eastAsiaTheme="minorEastAsia"/>
            </w:rPr>
            <m:t>9,91</m:t>
          </m:r>
          <m:r>
            <w:rPr>
              <w:rFonts w:eastAsiaTheme="minorEastAsia"/>
            </w:rPr>
            <m:t>×</m:t>
          </m:r>
          <m:r>
            <w:rPr>
              <w:rFonts w:ascii="Cambria Math" w:eastAsiaTheme="minorEastAsia"/>
            </w:rPr>
            <m:t>1,1</m:t>
          </m:r>
          <m:r>
            <w:rPr>
              <w:rFonts w:eastAsiaTheme="minorEastAsia"/>
            </w:rPr>
            <m:t>×</m:t>
          </m:r>
          <m:r>
            <w:rPr>
              <w:rFonts w:ascii="Cambria Math" w:eastAsiaTheme="minorEastAsia"/>
            </w:rPr>
            <m:t xml:space="preserve">1,05 </m:t>
          </m:r>
          <m:r>
            <m:rPr>
              <m:nor/>
            </m:rPr>
            <m:t xml:space="preserve">= 193 </m:t>
          </m:r>
          <w:proofErr w:type="spellStart"/>
          <m:r>
            <m:rPr>
              <m:nor/>
            </m:rPr>
            <m:t>kN</m:t>
          </m:r>
          <w:proofErr w:type="spellEnd"/>
          <m:r>
            <m:rPr>
              <m:nor/>
            </m:rPr>
            <m:t>/m</m:t>
          </m:r>
        </m:oMath>
      </m:oMathPara>
    </w:p>
    <w:p w:rsidR="00125D0B" w:rsidRPr="00125D0B" w:rsidRDefault="00125D0B" w:rsidP="006F2BE8">
      <w:pPr>
        <w:spacing w:after="0"/>
      </w:pPr>
      <w:r w:rsidRPr="00125D0B">
        <w:t xml:space="preserve">On prend comme valeur de surcharge permanente (équipements de sécurité, éclairage…) : </w:t>
      </w:r>
    </w:p>
    <w:p w:rsidR="00125D0B" w:rsidRPr="000161BD" w:rsidRDefault="00125D0B" w:rsidP="000C7E26">
      <w:pPr>
        <w:shd w:val="clear" w:color="auto" w:fill="ECF5F8"/>
        <w:spacing w:after="0"/>
        <w:jc w:val="center"/>
        <w:rPr>
          <w:rStyle w:val="Emphaseple"/>
        </w:rPr>
      </w:pPr>
      <w:r w:rsidRPr="000161BD">
        <w:rPr>
          <w:rStyle w:val="Emphaseple"/>
        </w:rPr>
        <w:t>𝑄</w:t>
      </w:r>
      <w:r w:rsidRPr="000161BD">
        <w:rPr>
          <w:rStyle w:val="Emphaseple"/>
          <w:vertAlign w:val="subscript"/>
        </w:rPr>
        <w:t>+</w:t>
      </w:r>
      <w:r w:rsidR="000161BD">
        <w:rPr>
          <w:rStyle w:val="Emphaseple"/>
        </w:rPr>
        <w:t xml:space="preserve"> </w:t>
      </w:r>
      <w:r w:rsidRPr="006F2BE8">
        <w:t>=</w:t>
      </w:r>
      <w:r w:rsidR="000161BD" w:rsidRPr="006F2BE8">
        <w:t xml:space="preserve"> </w:t>
      </w:r>
      <w:r w:rsidRPr="006F2BE8">
        <w:t xml:space="preserve">38,5 </w:t>
      </w:r>
      <w:proofErr w:type="spellStart"/>
      <w:r w:rsidRPr="006F2BE8">
        <w:t>kN</w:t>
      </w:r>
      <w:proofErr w:type="spellEnd"/>
      <w:r w:rsidRPr="006F2BE8">
        <w:t>/m</w:t>
      </w:r>
    </w:p>
    <w:p w:rsidR="00125D0B" w:rsidRPr="000161BD" w:rsidRDefault="00125D0B" w:rsidP="000161BD">
      <w:pPr>
        <w:rPr>
          <w:b/>
        </w:rPr>
      </w:pPr>
      <w:r w:rsidRPr="000161BD">
        <w:rPr>
          <w:b/>
        </w:rPr>
        <w:t xml:space="preserve">Trafic routier et piétons : </w:t>
      </w:r>
    </w:p>
    <w:p w:rsidR="008B22D5" w:rsidRDefault="00125D0B" w:rsidP="00254451">
      <w:r w:rsidRPr="00125D0B">
        <w:t xml:space="preserve">Pour calculer les charges verticales du trafic routier et des piétons, on se place dans le </w:t>
      </w:r>
      <w:r w:rsidR="00254451">
        <w:t>cadre donné par l’Eurocode 1 NF-</w:t>
      </w:r>
      <w:r w:rsidRPr="00125D0B">
        <w:t>EN</w:t>
      </w:r>
      <w:r w:rsidR="00254451">
        <w:t>-</w:t>
      </w:r>
      <w:r w:rsidRPr="00125D0B">
        <w:t>1991-2 (mars 2004). Différents modèles existent comme référencé dans le</w:t>
      </w:r>
      <w:r>
        <w:t xml:space="preserve"> t</w:t>
      </w:r>
      <w:r w:rsidRPr="00125D0B">
        <w:t xml:space="preserve">ableau </w:t>
      </w:r>
      <w:r w:rsidR="0049337A">
        <w:t>2</w:t>
      </w:r>
      <w:r w:rsidRPr="00125D0B">
        <w:t>. Nous nous intéresserons aux cas 1 et 4.</w:t>
      </w:r>
    </w:p>
    <w:tbl>
      <w:tblPr>
        <w:tblStyle w:val="Grilledutableau"/>
        <w:tblW w:w="0" w:type="auto"/>
        <w:tblInd w:w="108" w:type="dxa"/>
        <w:tblLook w:val="04A0"/>
      </w:tblPr>
      <w:tblGrid>
        <w:gridCol w:w="2246"/>
        <w:gridCol w:w="2716"/>
        <w:gridCol w:w="2442"/>
        <w:gridCol w:w="2434"/>
      </w:tblGrid>
      <w:tr w:rsidR="00254451" w:rsidTr="00254451">
        <w:tc>
          <w:tcPr>
            <w:tcW w:w="2246" w:type="dxa"/>
            <w:shd w:val="clear" w:color="auto" w:fill="D3EAF0" w:themeFill="accent1" w:themeFillTint="33"/>
          </w:tcPr>
          <w:p w:rsidR="00254451" w:rsidRDefault="00254451" w:rsidP="005F1643">
            <w:pPr>
              <w:spacing w:before="40" w:after="40"/>
              <w:jc w:val="center"/>
            </w:pPr>
            <w:r>
              <w:t>Modèle de charges</w:t>
            </w:r>
          </w:p>
        </w:tc>
        <w:tc>
          <w:tcPr>
            <w:tcW w:w="2716" w:type="dxa"/>
            <w:shd w:val="clear" w:color="auto" w:fill="D3EAF0" w:themeFill="accent1" w:themeFillTint="33"/>
          </w:tcPr>
          <w:p w:rsidR="00254451" w:rsidRDefault="00254451" w:rsidP="005F1643">
            <w:pPr>
              <w:spacing w:before="40" w:after="40"/>
              <w:jc w:val="center"/>
            </w:pPr>
            <w:r>
              <w:t>Type de chargement</w:t>
            </w:r>
          </w:p>
        </w:tc>
        <w:tc>
          <w:tcPr>
            <w:tcW w:w="2442" w:type="dxa"/>
            <w:shd w:val="clear" w:color="auto" w:fill="D3EAF0" w:themeFill="accent1" w:themeFillTint="33"/>
          </w:tcPr>
          <w:p w:rsidR="00254451" w:rsidRDefault="00254451" w:rsidP="005F1643">
            <w:pPr>
              <w:spacing w:before="40" w:after="40"/>
              <w:jc w:val="center"/>
            </w:pPr>
            <w:r>
              <w:t>Vérification globale</w:t>
            </w:r>
          </w:p>
        </w:tc>
        <w:tc>
          <w:tcPr>
            <w:tcW w:w="2434" w:type="dxa"/>
            <w:shd w:val="clear" w:color="auto" w:fill="D3EAF0" w:themeFill="accent1" w:themeFillTint="33"/>
          </w:tcPr>
          <w:p w:rsidR="00254451" w:rsidRDefault="00254451" w:rsidP="005F1643">
            <w:pPr>
              <w:spacing w:before="40" w:after="40"/>
              <w:jc w:val="center"/>
            </w:pPr>
            <w:r>
              <w:t>Vérification locale</w:t>
            </w:r>
          </w:p>
        </w:tc>
      </w:tr>
      <w:tr w:rsidR="00254451" w:rsidTr="00254451">
        <w:tc>
          <w:tcPr>
            <w:tcW w:w="2246" w:type="dxa"/>
            <w:shd w:val="clear" w:color="auto" w:fill="D3EAF0" w:themeFill="accent1" w:themeFillTint="33"/>
          </w:tcPr>
          <w:p w:rsidR="00254451" w:rsidRDefault="00254451" w:rsidP="005F1643">
            <w:pPr>
              <w:spacing w:before="40" w:after="40"/>
              <w:jc w:val="center"/>
            </w:pPr>
            <w:r>
              <w:t>1</w:t>
            </w:r>
          </w:p>
        </w:tc>
        <w:tc>
          <w:tcPr>
            <w:tcW w:w="2716" w:type="dxa"/>
          </w:tcPr>
          <w:p w:rsidR="00254451" w:rsidRDefault="00254451" w:rsidP="005F1643">
            <w:pPr>
              <w:spacing w:before="40" w:after="40"/>
              <w:jc w:val="center"/>
            </w:pPr>
            <w:r>
              <w:t>Essieu unique et réparti</w:t>
            </w:r>
          </w:p>
        </w:tc>
        <w:tc>
          <w:tcPr>
            <w:tcW w:w="2442" w:type="dxa"/>
          </w:tcPr>
          <w:p w:rsidR="00254451" w:rsidRDefault="00254451" w:rsidP="00254451">
            <w:pPr>
              <w:spacing w:before="40" w:after="40"/>
              <w:jc w:val="center"/>
            </w:pPr>
            <w:r>
              <w:t>X</w:t>
            </w:r>
          </w:p>
        </w:tc>
        <w:tc>
          <w:tcPr>
            <w:tcW w:w="2434" w:type="dxa"/>
          </w:tcPr>
          <w:p w:rsidR="00254451" w:rsidRDefault="00254451" w:rsidP="00254451">
            <w:pPr>
              <w:spacing w:before="40" w:after="40"/>
              <w:jc w:val="center"/>
            </w:pPr>
            <w:r>
              <w:t>X</w:t>
            </w:r>
          </w:p>
        </w:tc>
      </w:tr>
      <w:tr w:rsidR="00254451" w:rsidTr="00254451">
        <w:tc>
          <w:tcPr>
            <w:tcW w:w="2246" w:type="dxa"/>
            <w:shd w:val="clear" w:color="auto" w:fill="D3EAF0" w:themeFill="accent1" w:themeFillTint="33"/>
          </w:tcPr>
          <w:p w:rsidR="00254451" w:rsidRDefault="00254451" w:rsidP="00254451">
            <w:pPr>
              <w:spacing w:before="40" w:after="40"/>
              <w:jc w:val="center"/>
            </w:pPr>
            <w:r>
              <w:t>2</w:t>
            </w:r>
          </w:p>
        </w:tc>
        <w:tc>
          <w:tcPr>
            <w:tcW w:w="2716" w:type="dxa"/>
          </w:tcPr>
          <w:p w:rsidR="00254451" w:rsidRDefault="00254451" w:rsidP="005F1643">
            <w:pPr>
              <w:spacing w:before="40" w:after="40"/>
              <w:jc w:val="center"/>
            </w:pPr>
            <w:r>
              <w:t>Essieu unique</w:t>
            </w:r>
          </w:p>
        </w:tc>
        <w:tc>
          <w:tcPr>
            <w:tcW w:w="2442" w:type="dxa"/>
          </w:tcPr>
          <w:p w:rsidR="00254451" w:rsidRDefault="00254451" w:rsidP="00254451">
            <w:pPr>
              <w:spacing w:before="40" w:after="40"/>
              <w:jc w:val="center"/>
            </w:pPr>
          </w:p>
        </w:tc>
        <w:tc>
          <w:tcPr>
            <w:tcW w:w="2434" w:type="dxa"/>
          </w:tcPr>
          <w:p w:rsidR="00254451" w:rsidRDefault="00254451" w:rsidP="00254451">
            <w:pPr>
              <w:spacing w:before="40" w:after="40"/>
              <w:jc w:val="center"/>
            </w:pPr>
            <w:r>
              <w:t>X</w:t>
            </w:r>
          </w:p>
        </w:tc>
      </w:tr>
      <w:tr w:rsidR="00254451" w:rsidTr="00254451">
        <w:tc>
          <w:tcPr>
            <w:tcW w:w="2246" w:type="dxa"/>
            <w:shd w:val="clear" w:color="auto" w:fill="D3EAF0" w:themeFill="accent1" w:themeFillTint="33"/>
          </w:tcPr>
          <w:p w:rsidR="00254451" w:rsidRDefault="00254451" w:rsidP="005F1643">
            <w:pPr>
              <w:spacing w:before="40" w:after="40"/>
              <w:jc w:val="center"/>
            </w:pPr>
            <w:r>
              <w:t>3</w:t>
            </w:r>
          </w:p>
        </w:tc>
        <w:tc>
          <w:tcPr>
            <w:tcW w:w="2716" w:type="dxa"/>
          </w:tcPr>
          <w:p w:rsidR="00254451" w:rsidRDefault="00254451" w:rsidP="005F1643">
            <w:pPr>
              <w:spacing w:before="40" w:after="40"/>
              <w:jc w:val="center"/>
            </w:pPr>
            <w:r>
              <w:t>Convoi exceptionnel</w:t>
            </w:r>
          </w:p>
        </w:tc>
        <w:tc>
          <w:tcPr>
            <w:tcW w:w="2442" w:type="dxa"/>
          </w:tcPr>
          <w:p w:rsidR="00254451" w:rsidRDefault="00254451" w:rsidP="00254451">
            <w:pPr>
              <w:spacing w:before="40" w:after="40"/>
              <w:jc w:val="center"/>
            </w:pPr>
            <w:r>
              <w:t>X</w:t>
            </w:r>
          </w:p>
        </w:tc>
        <w:tc>
          <w:tcPr>
            <w:tcW w:w="2434" w:type="dxa"/>
          </w:tcPr>
          <w:p w:rsidR="00254451" w:rsidRDefault="00254451" w:rsidP="00254451">
            <w:pPr>
              <w:spacing w:before="40" w:after="40"/>
              <w:jc w:val="center"/>
            </w:pPr>
            <w:r>
              <w:t>X</w:t>
            </w:r>
          </w:p>
        </w:tc>
      </w:tr>
      <w:tr w:rsidR="00254451" w:rsidTr="00254451">
        <w:tc>
          <w:tcPr>
            <w:tcW w:w="2246" w:type="dxa"/>
            <w:shd w:val="clear" w:color="auto" w:fill="D3EAF0" w:themeFill="accent1" w:themeFillTint="33"/>
          </w:tcPr>
          <w:p w:rsidR="00254451" w:rsidRDefault="00254451" w:rsidP="005F1643">
            <w:pPr>
              <w:spacing w:before="40" w:after="40"/>
              <w:jc w:val="center"/>
            </w:pPr>
            <w:r>
              <w:t>4</w:t>
            </w:r>
          </w:p>
        </w:tc>
        <w:tc>
          <w:tcPr>
            <w:tcW w:w="2716" w:type="dxa"/>
          </w:tcPr>
          <w:p w:rsidR="00254451" w:rsidRDefault="00254451" w:rsidP="005F1643">
            <w:pPr>
              <w:spacing w:before="40" w:after="40"/>
              <w:jc w:val="center"/>
            </w:pPr>
            <w:r>
              <w:t>Foule</w:t>
            </w:r>
          </w:p>
        </w:tc>
        <w:tc>
          <w:tcPr>
            <w:tcW w:w="2442" w:type="dxa"/>
          </w:tcPr>
          <w:p w:rsidR="00254451" w:rsidRDefault="00254451" w:rsidP="00254451">
            <w:pPr>
              <w:spacing w:before="40" w:after="40"/>
              <w:jc w:val="center"/>
            </w:pPr>
            <w:r>
              <w:t>X</w:t>
            </w:r>
          </w:p>
        </w:tc>
        <w:tc>
          <w:tcPr>
            <w:tcW w:w="2434" w:type="dxa"/>
          </w:tcPr>
          <w:p w:rsidR="00254451" w:rsidRDefault="00254451" w:rsidP="00254451">
            <w:pPr>
              <w:spacing w:before="40" w:after="40"/>
              <w:jc w:val="center"/>
            </w:pPr>
          </w:p>
        </w:tc>
      </w:tr>
    </w:tbl>
    <w:p w:rsidR="00125D0B" w:rsidRDefault="006650FD" w:rsidP="00254451">
      <w:pPr>
        <w:pStyle w:val="Lgende"/>
        <w:spacing w:before="120"/>
      </w:pPr>
      <w:r>
        <w:t xml:space="preserve">Tableau </w:t>
      </w:r>
      <w:r w:rsidR="0049337A">
        <w:t>2</w:t>
      </w:r>
      <w:r w:rsidR="00125D0B">
        <w:t> : Modèles de charges d'après Eurocode 1 NF EN 1991-2</w:t>
      </w:r>
    </w:p>
    <w:p w:rsidR="006D26CF" w:rsidRPr="006D26CF" w:rsidRDefault="006D26CF" w:rsidP="00254451">
      <w:r w:rsidRPr="006D26CF">
        <w:t xml:space="preserve">Il convient d’abord de définir les caractéristiques du pont : </w:t>
      </w:r>
    </w:p>
    <w:p w:rsidR="00254451" w:rsidRDefault="00254451" w:rsidP="00254451">
      <w:pPr>
        <w:pStyle w:val="Paragraphedeliste"/>
        <w:numPr>
          <w:ilvl w:val="0"/>
          <w:numId w:val="11"/>
        </w:numPr>
        <w:spacing w:before="120"/>
        <w:ind w:left="714" w:hanging="357"/>
      </w:pPr>
      <w:r>
        <w:t>l</w:t>
      </w:r>
      <w:r w:rsidR="006D26CF" w:rsidRPr="006D26CF">
        <w:t>argeur du pont : 27 m</w:t>
      </w:r>
      <w:r>
        <w:t> ;</w:t>
      </w:r>
      <w:r w:rsidR="006D26CF" w:rsidRPr="006D26CF">
        <w:t xml:space="preserve"> </w:t>
      </w:r>
    </w:p>
    <w:p w:rsidR="006D26CF" w:rsidRPr="006D26CF" w:rsidRDefault="00254451" w:rsidP="00254451">
      <w:pPr>
        <w:pStyle w:val="Paragraphedeliste"/>
        <w:numPr>
          <w:ilvl w:val="0"/>
          <w:numId w:val="11"/>
        </w:numPr>
      </w:pPr>
      <w:r>
        <w:t>l</w:t>
      </w:r>
      <w:r w:rsidR="006D26CF" w:rsidRPr="006D26CF">
        <w:t>argeur route : 19 m</w:t>
      </w:r>
      <w:r>
        <w:t> ;</w:t>
      </w:r>
      <w:r w:rsidR="006D26CF" w:rsidRPr="006D26CF">
        <w:t xml:space="preserve"> </w:t>
      </w:r>
    </w:p>
    <w:p w:rsidR="006D26CF" w:rsidRPr="006D26CF" w:rsidRDefault="00254451" w:rsidP="00254451">
      <w:pPr>
        <w:pStyle w:val="Paragraphedeliste"/>
        <w:numPr>
          <w:ilvl w:val="0"/>
          <w:numId w:val="11"/>
        </w:numPr>
      </w:pPr>
      <w:r>
        <w:lastRenderedPageBreak/>
        <w:t>n</w:t>
      </w:r>
      <w:r w:rsidR="006D26CF" w:rsidRPr="006D26CF">
        <w:t>ombr</w:t>
      </w:r>
      <w:r>
        <w:t>e de voies conventionnelles : 6.</w:t>
      </w:r>
    </w:p>
    <w:p w:rsidR="006D26CF" w:rsidRPr="00254451" w:rsidRDefault="006D26CF" w:rsidP="00254451">
      <w:pPr>
        <w:rPr>
          <w:u w:val="single"/>
        </w:rPr>
      </w:pPr>
      <w:r w:rsidRPr="00254451">
        <w:rPr>
          <w:u w:val="single"/>
        </w:rPr>
        <w:t xml:space="preserve">Modèle de charges 1 : </w:t>
      </w:r>
    </w:p>
    <w:p w:rsidR="006D26CF" w:rsidRPr="006D26CF" w:rsidRDefault="006D26CF" w:rsidP="00254451">
      <w:pPr>
        <w:spacing w:before="120"/>
      </w:pPr>
      <w:r w:rsidRPr="006D26CF">
        <w:t xml:space="preserve">Le Golden </w:t>
      </w:r>
      <w:proofErr w:type="spellStart"/>
      <w:r w:rsidRPr="006D26CF">
        <w:t>Gate</w:t>
      </w:r>
      <w:proofErr w:type="spellEnd"/>
      <w:r w:rsidRPr="006D26CF">
        <w:t xml:space="preserve"> Bridge compte 6 voies de circulation. On se base sur les données du Royaume-Uni pour réaliser les calculs. Ainsi, la charge répartie est prise égale à 5,5 </w:t>
      </w:r>
      <w:proofErr w:type="spellStart"/>
      <w:r w:rsidRPr="006D26CF">
        <w:t>kN</w:t>
      </w:r>
      <w:proofErr w:type="spellEnd"/>
      <w:r w:rsidRPr="006D26CF">
        <w:t xml:space="preserve">/m² tandis que la charge locale est, dans les deux sens de circulation, de : </w:t>
      </w:r>
    </w:p>
    <w:p w:rsidR="006D26CF" w:rsidRPr="006D26CF" w:rsidRDefault="006D26CF" w:rsidP="00254451">
      <w:pPr>
        <w:pStyle w:val="Paragraphedeliste"/>
        <w:numPr>
          <w:ilvl w:val="0"/>
          <w:numId w:val="12"/>
        </w:numPr>
        <w:spacing w:before="120"/>
        <w:ind w:left="714" w:hanging="357"/>
      </w:pPr>
      <w:r w:rsidRPr="006D26CF">
        <w:t xml:space="preserve">300 </w:t>
      </w:r>
      <w:proofErr w:type="spellStart"/>
      <w:r w:rsidRPr="006D26CF">
        <w:t>kN</w:t>
      </w:r>
      <w:proofErr w:type="spellEnd"/>
      <w:r w:rsidRPr="006D26CF">
        <w:t xml:space="preserve"> sur la première voie</w:t>
      </w:r>
      <w:r w:rsidR="00254451">
        <w:t> ;</w:t>
      </w:r>
    </w:p>
    <w:p w:rsidR="006D26CF" w:rsidRPr="006D26CF" w:rsidRDefault="006D26CF" w:rsidP="00254451">
      <w:pPr>
        <w:pStyle w:val="Paragraphedeliste"/>
        <w:numPr>
          <w:ilvl w:val="0"/>
          <w:numId w:val="12"/>
        </w:numPr>
      </w:pPr>
      <w:r w:rsidRPr="006D26CF">
        <w:t xml:space="preserve">200 </w:t>
      </w:r>
      <w:proofErr w:type="spellStart"/>
      <w:r w:rsidRPr="006D26CF">
        <w:t>kN</w:t>
      </w:r>
      <w:proofErr w:type="spellEnd"/>
      <w:r w:rsidRPr="006D26CF">
        <w:t xml:space="preserve"> sur la deuxième voie</w:t>
      </w:r>
      <w:r w:rsidR="00254451">
        <w:t> ;</w:t>
      </w:r>
    </w:p>
    <w:p w:rsidR="006D26CF" w:rsidRDefault="00254451" w:rsidP="00254451">
      <w:pPr>
        <w:pStyle w:val="Paragraphedeliste"/>
        <w:numPr>
          <w:ilvl w:val="0"/>
          <w:numId w:val="12"/>
        </w:numPr>
      </w:pPr>
      <w:r>
        <w:t xml:space="preserve">100 </w:t>
      </w:r>
      <w:proofErr w:type="spellStart"/>
      <w:r>
        <w:t>kN</w:t>
      </w:r>
      <w:proofErr w:type="spellEnd"/>
      <w:r>
        <w:t xml:space="preserve"> sur la troisième voie.</w:t>
      </w:r>
    </w:p>
    <w:p w:rsidR="00254451" w:rsidRDefault="00254451" w:rsidP="00254451">
      <w:r w:rsidRPr="006D26CF">
        <w:t>On obtient ainsi un chargement :</w:t>
      </w:r>
    </w:p>
    <w:p w:rsidR="00254451" w:rsidRDefault="00254451" w:rsidP="000C7E26">
      <w:pPr>
        <w:pStyle w:val="Paragraphedeliste"/>
        <w:numPr>
          <w:ilvl w:val="0"/>
          <w:numId w:val="14"/>
        </w:numPr>
        <w:shd w:val="clear" w:color="auto" w:fill="ECF5F8"/>
        <w:spacing w:before="120" w:after="60"/>
        <w:ind w:left="714" w:hanging="357"/>
      </w:pPr>
      <w:r w:rsidRPr="006D26CF">
        <w:t>Global : (5,5×19)</w:t>
      </w:r>
      <w:r>
        <w:t xml:space="preserve"> </w:t>
      </w:r>
      <w:r w:rsidRPr="006D26CF">
        <w:t>×</w:t>
      </w:r>
      <w:r>
        <w:t xml:space="preserve"> </w:t>
      </w:r>
      <w:r w:rsidRPr="006D26CF">
        <w:t>1,10</w:t>
      </w:r>
      <w:r>
        <w:t xml:space="preserve"> </w:t>
      </w:r>
      <w:r w:rsidRPr="006D26CF">
        <w:t>×</w:t>
      </w:r>
      <w:r>
        <w:t xml:space="preserve"> </w:t>
      </w:r>
      <w:r w:rsidRPr="006D26CF">
        <w:t>1,30</w:t>
      </w:r>
      <w:r>
        <w:t xml:space="preserve"> </w:t>
      </w:r>
      <w:r w:rsidRPr="006D26CF">
        <w:t>=</w:t>
      </w:r>
      <w:r>
        <w:t xml:space="preserve"> </w:t>
      </w:r>
      <w:r w:rsidRPr="006D26CF">
        <w:t xml:space="preserve">150 </w:t>
      </w:r>
      <w:proofErr w:type="spellStart"/>
      <w:r w:rsidRPr="006D26CF">
        <w:t>kN</w:t>
      </w:r>
      <w:proofErr w:type="spellEnd"/>
      <w:r w:rsidRPr="006D26CF">
        <w:t>/m</w:t>
      </w:r>
    </w:p>
    <w:p w:rsidR="00254451" w:rsidRPr="006D26CF" w:rsidRDefault="00254451" w:rsidP="000C7E26">
      <w:pPr>
        <w:pStyle w:val="Paragraphedeliste"/>
        <w:numPr>
          <w:ilvl w:val="0"/>
          <w:numId w:val="14"/>
        </w:numPr>
        <w:shd w:val="clear" w:color="auto" w:fill="ECF5F8"/>
      </w:pPr>
      <w:r w:rsidRPr="00254451">
        <w:t>Local :</w:t>
      </w:r>
      <w:r w:rsidRPr="00254451">
        <w:rPr>
          <w:rFonts w:ascii="Calibri" w:hAnsi="Calibri" w:cs="Calibri"/>
        </w:rPr>
        <w:t xml:space="preserve"> </w:t>
      </w:r>
      <w:r w:rsidRPr="006D26CF">
        <w:t>(2</w:t>
      </w:r>
      <w:r>
        <w:t xml:space="preserve"> </w:t>
      </w:r>
      <w:r w:rsidRPr="006D26CF">
        <w:t>×</w:t>
      </w:r>
      <w:r w:rsidR="005F1643">
        <w:t xml:space="preserve"> </w:t>
      </w:r>
      <w:r w:rsidRPr="006D26CF">
        <w:t>(300+200+100))</w:t>
      </w:r>
      <w:r>
        <w:t xml:space="preserve"> </w:t>
      </w:r>
      <w:r w:rsidRPr="006D26CF">
        <w:t>×</w:t>
      </w:r>
      <w:r>
        <w:t xml:space="preserve"> </w:t>
      </w:r>
      <w:r w:rsidRPr="006D26CF">
        <w:t>1,10</w:t>
      </w:r>
      <w:r>
        <w:t xml:space="preserve"> </w:t>
      </w:r>
      <w:r w:rsidRPr="006D26CF">
        <w:t>×</w:t>
      </w:r>
      <w:r>
        <w:t xml:space="preserve"> </w:t>
      </w:r>
      <w:r w:rsidRPr="006D26CF">
        <w:t>1,30</w:t>
      </w:r>
      <w:r>
        <w:t xml:space="preserve"> </w:t>
      </w:r>
      <w:r w:rsidRPr="006D26CF">
        <w:t>=</w:t>
      </w:r>
      <w:r>
        <w:t xml:space="preserve"> </w:t>
      </w:r>
      <w:r w:rsidRPr="006D26CF">
        <w:t>1</w:t>
      </w:r>
      <w:r>
        <w:t> </w:t>
      </w:r>
      <w:r w:rsidRPr="006D26CF">
        <w:t xml:space="preserve">700 </w:t>
      </w:r>
      <w:proofErr w:type="spellStart"/>
      <w:r w:rsidRPr="006D26CF">
        <w:t>kN</w:t>
      </w:r>
      <w:proofErr w:type="spellEnd"/>
    </w:p>
    <w:p w:rsidR="005F1643" w:rsidRPr="005F1643" w:rsidRDefault="005F1643" w:rsidP="00DF79DB">
      <w:pPr>
        <w:spacing w:before="360"/>
        <w:rPr>
          <w:u w:val="single"/>
        </w:rPr>
      </w:pPr>
      <w:r w:rsidRPr="005F1643">
        <w:rPr>
          <w:u w:val="single"/>
        </w:rPr>
        <w:t xml:space="preserve">Modèle de charges 4 : </w:t>
      </w:r>
    </w:p>
    <w:p w:rsidR="005F1643" w:rsidRDefault="005F1643" w:rsidP="005F1643">
      <w:pPr>
        <w:spacing w:before="120"/>
      </w:pPr>
      <w:r w:rsidRPr="005F1643">
        <w:t>Suite à l’importante flèche présentée par le pont lors de son</w:t>
      </w:r>
      <w:r w:rsidR="00141ABA">
        <w:t xml:space="preserve"> 50</w:t>
      </w:r>
      <w:r w:rsidR="00141ABA" w:rsidRPr="00141ABA">
        <w:rPr>
          <w:vertAlign w:val="superscript"/>
        </w:rPr>
        <w:t>e</w:t>
      </w:r>
      <w:r w:rsidRPr="005F1643">
        <w:t xml:space="preserve"> anniversaire, alors qu’une dense foule se tenait dessus, il peut être intéressant de s’intéresser au dimensionnement dans un cas de foule où </w:t>
      </w:r>
      <w:r>
        <w:t xml:space="preserve">la charge répartie vaut 5 </w:t>
      </w:r>
      <w:proofErr w:type="spellStart"/>
      <w:r>
        <w:t>kN</w:t>
      </w:r>
      <w:proofErr w:type="spellEnd"/>
      <w:r>
        <w:t>/m</w:t>
      </w:r>
      <w:r w:rsidRPr="005F1643">
        <w:rPr>
          <w:vertAlign w:val="superscript"/>
        </w:rPr>
        <w:t>²</w:t>
      </w:r>
      <w:r w:rsidRPr="005F1643">
        <w:t>.</w:t>
      </w:r>
    </w:p>
    <w:p w:rsidR="005F1643" w:rsidRPr="005F1643" w:rsidRDefault="005F1643" w:rsidP="000C7E26">
      <w:pPr>
        <w:shd w:val="clear" w:color="auto" w:fill="ECF5F8"/>
        <w:spacing w:before="120"/>
        <w:jc w:val="center"/>
      </w:pPr>
      <w:r w:rsidRPr="005F1643">
        <w:t>(5×27)×</w:t>
      </w:r>
      <w:r>
        <w:t xml:space="preserve"> </w:t>
      </w:r>
      <w:r w:rsidRPr="005F1643">
        <w:t>1,10</w:t>
      </w:r>
      <w:r>
        <w:t xml:space="preserve"> </w:t>
      </w:r>
      <w:r w:rsidRPr="005F1643">
        <w:t>×</w:t>
      </w:r>
      <w:r>
        <w:t xml:space="preserve"> </w:t>
      </w:r>
      <w:r w:rsidRPr="005F1643">
        <w:t>1,30</w:t>
      </w:r>
      <w:r>
        <w:t xml:space="preserve"> </w:t>
      </w:r>
      <w:r w:rsidRPr="005F1643">
        <w:t>=</w:t>
      </w:r>
      <w:r>
        <w:t xml:space="preserve"> </w:t>
      </w:r>
      <w:r w:rsidRPr="005F1643">
        <w:t xml:space="preserve">193 </w:t>
      </w:r>
      <w:proofErr w:type="spellStart"/>
      <w:r w:rsidRPr="005F1643">
        <w:t>kN</w:t>
      </w:r>
      <w:proofErr w:type="spellEnd"/>
      <w:r w:rsidRPr="005F1643">
        <w:t>/m</w:t>
      </w:r>
    </w:p>
    <w:p w:rsidR="005F1643" w:rsidRPr="005F1643" w:rsidRDefault="005F1643" w:rsidP="005F1643">
      <w:r w:rsidRPr="005F1643">
        <w:t xml:space="preserve">Du fait de la largeur plus importante de la zone accessible </w:t>
      </w:r>
      <w:r w:rsidR="005A2C09">
        <w:t>aux</w:t>
      </w:r>
      <w:r w:rsidRPr="005F1643">
        <w:t xml:space="preserve"> piétons, la charge linéique majorée pour un cas de foule est plus importante que pour le trafic routier. </w:t>
      </w:r>
    </w:p>
    <w:p w:rsidR="005F1643" w:rsidRPr="005F1643" w:rsidRDefault="005F1643" w:rsidP="005F1643">
      <w:pPr>
        <w:rPr>
          <w:b/>
        </w:rPr>
      </w:pPr>
      <w:r w:rsidRPr="005F1643">
        <w:rPr>
          <w:b/>
        </w:rPr>
        <w:t xml:space="preserve">Charges dues au vent : </w:t>
      </w:r>
    </w:p>
    <w:p w:rsidR="005F1643" w:rsidRPr="005F1643" w:rsidRDefault="005F1643" w:rsidP="005F1643">
      <w:r w:rsidRPr="005F1643">
        <w:t xml:space="preserve">La vitesse de base du vent est, dans notre cas : </w:t>
      </w:r>
      <w:r w:rsidRPr="005F1643">
        <w:rPr>
          <w:rStyle w:val="Emphaseple"/>
        </w:rPr>
        <w:t>𝑣</w:t>
      </w:r>
      <w:r>
        <w:rPr>
          <w:rFonts w:ascii="Cambria Math" w:hAnsi="Cambria Math" w:cs="Cambria Math"/>
        </w:rPr>
        <w:t xml:space="preserve"> </w:t>
      </w:r>
      <w:r w:rsidRPr="005F1643">
        <w:t>=</w:t>
      </w:r>
      <w:r>
        <w:t xml:space="preserve"> </w:t>
      </w:r>
      <w:r w:rsidRPr="005F1643">
        <w:t>15</w:t>
      </w:r>
      <w:r>
        <w:t xml:space="preserve"> m/s</w:t>
      </w:r>
      <w:r w:rsidR="00E715A0">
        <w:t xml:space="preserve"> [21]</w:t>
      </w:r>
      <w:r>
        <w:t>.</w:t>
      </w:r>
      <w:r w:rsidRPr="005F1643">
        <w:t xml:space="preserve"> </w:t>
      </w:r>
    </w:p>
    <w:p w:rsidR="005F1643" w:rsidRDefault="005F1643" w:rsidP="005F1643">
      <w:r w:rsidRPr="005F1643">
        <w:t>Pour déterminer la vitesse de référence du vent, on utilise la formule suivante :</w:t>
      </w:r>
    </w:p>
    <w:p w:rsidR="005F1643" w:rsidRDefault="005F1643" w:rsidP="005F1643">
      <w:pPr>
        <w:spacing w:before="120"/>
        <w:jc w:val="center"/>
        <w:rPr>
          <w:rFonts w:ascii="Cambria Math" w:hAnsi="Cambria Math" w:cs="Cambria Math"/>
          <w:sz w:val="16"/>
          <w:szCs w:val="16"/>
        </w:rPr>
      </w:pPr>
      <w:r w:rsidRPr="005F1643">
        <w:rPr>
          <w:rStyle w:val="Emphaseple"/>
        </w:rPr>
        <w:t>𝑣</w:t>
      </w:r>
      <w:r w:rsidRPr="005F1643">
        <w:rPr>
          <w:rStyle w:val="Emphaseple"/>
          <w:vertAlign w:val="subscript"/>
        </w:rPr>
        <w:t>𝑏</w:t>
      </w:r>
      <w:r>
        <w:rPr>
          <w:rStyle w:val="Emphaseple"/>
        </w:rPr>
        <w:t xml:space="preserve"> </w:t>
      </w:r>
      <w:r w:rsidRPr="005F1643">
        <w:rPr>
          <w:rStyle w:val="Emphaseple"/>
        </w:rPr>
        <w:t>=𝐾</w:t>
      </w:r>
      <w:r>
        <w:rPr>
          <w:rStyle w:val="Emphaseple"/>
        </w:rPr>
        <w:t>.</w:t>
      </w:r>
      <w:r w:rsidRPr="005F1643">
        <w:rPr>
          <w:rStyle w:val="Emphaseple"/>
        </w:rPr>
        <w:t>𝑣</w:t>
      </w:r>
      <w:r>
        <w:rPr>
          <w:rStyle w:val="Emphaseple"/>
        </w:rPr>
        <w:t>.</w:t>
      </w:r>
      <w:r w:rsidRPr="005F1643">
        <w:rPr>
          <w:rStyle w:val="Emphaseple"/>
        </w:rPr>
        <w:t>𝑐</w:t>
      </w:r>
      <w:r w:rsidRPr="005F1643">
        <w:rPr>
          <w:rStyle w:val="Emphaseple"/>
          <w:vertAlign w:val="subscript"/>
        </w:rPr>
        <w:t>𝑑𝑖𝑟𝑒𝑐𝑡𝑖𝑜𝑛</w:t>
      </w:r>
      <w:r w:rsidRPr="005F1643">
        <w:t>.</w:t>
      </w:r>
      <w:r w:rsidRPr="005F1643">
        <w:rPr>
          <w:rStyle w:val="Emphaseple"/>
        </w:rPr>
        <w:t>𝑐</w:t>
      </w:r>
      <w:r w:rsidRPr="005F1643">
        <w:rPr>
          <w:rStyle w:val="Emphaseple"/>
          <w:vertAlign w:val="subscript"/>
        </w:rPr>
        <w:t>𝑠𝑎𝑖𝑠𝑜𝑛</w:t>
      </w:r>
    </w:p>
    <w:p w:rsidR="005F1643" w:rsidRPr="005F1643" w:rsidRDefault="005F1643" w:rsidP="005F1643">
      <w:pPr>
        <w:rPr>
          <w:rFonts w:ascii="Calibri" w:hAnsi="Calibri" w:cs="Calibri"/>
        </w:rPr>
      </w:pPr>
      <w:proofErr w:type="gramStart"/>
      <w:r w:rsidRPr="005F1643">
        <w:t>avec</w:t>
      </w:r>
      <w:proofErr w:type="gramEnd"/>
      <w:r w:rsidRPr="005F1643">
        <w:t xml:space="preserve"> </w:t>
      </w:r>
      <w:r w:rsidRPr="005F1643">
        <w:rPr>
          <w:rStyle w:val="Emphaseple"/>
        </w:rPr>
        <w:t>𝐾</w:t>
      </w:r>
      <w:r>
        <w:rPr>
          <w:rStyle w:val="Emphaseple"/>
        </w:rPr>
        <w:t xml:space="preserve"> </w:t>
      </w:r>
      <w:r w:rsidRPr="005F1643">
        <w:t>=1,53</w:t>
      </w:r>
      <w:r>
        <w:t>,</w:t>
      </w:r>
      <w:r w:rsidRPr="005F1643">
        <w:t xml:space="preserve"> coefficient prenant en compte les caractéristiques du terrain et turbulences [21], </w:t>
      </w:r>
      <w:r w:rsidRPr="005F1643">
        <w:rPr>
          <w:rStyle w:val="Emphaseple"/>
        </w:rPr>
        <w:t>c</w:t>
      </w:r>
      <w:r w:rsidRPr="005F1643">
        <w:rPr>
          <w:rStyle w:val="Emphaseple"/>
          <w:vertAlign w:val="subscript"/>
        </w:rPr>
        <w:t>𝑑𝑖𝑟𝑒𝑐𝑡𝑖𝑜𝑛</w:t>
      </w:r>
      <w:r w:rsidRPr="005F1643">
        <w:t xml:space="preserve"> =</w:t>
      </w:r>
      <w:r>
        <w:t xml:space="preserve"> </w:t>
      </w:r>
      <w:r w:rsidRPr="005F1643">
        <w:t>1</w:t>
      </w:r>
      <w:r>
        <w:t xml:space="preserve">, </w:t>
      </w:r>
      <w:r w:rsidRPr="005F1643">
        <w:t>coefficient de direction, et</w:t>
      </w:r>
      <w:r>
        <w:rPr>
          <w:rFonts w:ascii="Calibri" w:hAnsi="Calibri" w:cs="Calibri"/>
        </w:rPr>
        <w:t xml:space="preserve"> </w:t>
      </w:r>
      <w:r w:rsidRPr="005F1643">
        <w:rPr>
          <w:rStyle w:val="Emphaseple"/>
        </w:rPr>
        <w:t>𝑐</w:t>
      </w:r>
      <w:r w:rsidRPr="005F1643">
        <w:rPr>
          <w:rStyle w:val="Emphaseple"/>
          <w:vertAlign w:val="subscript"/>
        </w:rPr>
        <w:t>𝑠𝑎𝑖𝑠𝑜𝑛</w:t>
      </w:r>
      <w:r w:rsidRPr="005F1643">
        <w:rPr>
          <w:rFonts w:ascii="Cambria Math" w:hAnsi="Cambria Math" w:cs="Cambria Math"/>
          <w:sz w:val="16"/>
          <w:szCs w:val="16"/>
          <w:vertAlign w:val="subscript"/>
        </w:rPr>
        <w:t xml:space="preserve"> </w:t>
      </w:r>
      <w:r w:rsidRPr="005F1643">
        <w:t>= 1,39</w:t>
      </w:r>
      <w:r>
        <w:t>,</w:t>
      </w:r>
      <w:r w:rsidRPr="005F1643">
        <w:t xml:space="preserve"> coefficient de saison.</w:t>
      </w:r>
      <w:r w:rsidRPr="005F1643">
        <w:rPr>
          <w:rFonts w:ascii="Calibri" w:hAnsi="Calibri" w:cs="Calibri"/>
        </w:rPr>
        <w:t xml:space="preserve"> </w:t>
      </w:r>
    </w:p>
    <w:p w:rsidR="006D26CF" w:rsidRPr="006D26CF" w:rsidRDefault="006D26CF" w:rsidP="005F1643">
      <w:r w:rsidRPr="006D26CF">
        <w:t xml:space="preserve">On trouve ainsi </w:t>
      </w:r>
      <w:r w:rsidRPr="005F1643">
        <w:rPr>
          <w:rStyle w:val="Emphaseple"/>
        </w:rPr>
        <w:t>𝑣</w:t>
      </w:r>
      <w:r w:rsidRPr="005F1643">
        <w:rPr>
          <w:rStyle w:val="Emphaseple"/>
          <w:vertAlign w:val="subscript"/>
        </w:rPr>
        <w:t>𝑏</w:t>
      </w:r>
      <w:r w:rsidR="005F1643">
        <w:rPr>
          <w:rFonts w:ascii="Cambria Math" w:hAnsi="Cambria Math" w:cs="Cambria Math"/>
        </w:rPr>
        <w:t xml:space="preserve"> </w:t>
      </w:r>
      <w:r w:rsidRPr="006D26CF">
        <w:t xml:space="preserve">=32 </w:t>
      </w:r>
      <w:r w:rsidR="005F1643">
        <w:t>m/s.</w:t>
      </w:r>
      <w:r w:rsidRPr="006D26CF">
        <w:t xml:space="preserve"> </w:t>
      </w:r>
    </w:p>
    <w:p w:rsidR="006F2BE8" w:rsidRDefault="006D26CF" w:rsidP="005F1643">
      <w:pPr>
        <w:rPr>
          <w:rFonts w:ascii="Cambria Math" w:hAnsi="Cambria Math" w:cs="Cambria Math"/>
          <w:sz w:val="16"/>
          <w:szCs w:val="16"/>
        </w:rPr>
      </w:pPr>
      <w:r w:rsidRPr="006D26CF">
        <w:t xml:space="preserve">On va ensuite calculer la charge </w:t>
      </w:r>
      <w:r w:rsidRPr="006D26CF">
        <w:rPr>
          <w:b/>
          <w:bCs/>
        </w:rPr>
        <w:t xml:space="preserve">horizontale </w:t>
      </w:r>
      <w:r w:rsidRPr="006D26CF">
        <w:t xml:space="preserve">due au vent : </w:t>
      </w:r>
      <w:r w:rsidRPr="006F2BE8">
        <w:rPr>
          <w:rStyle w:val="Emphaseple"/>
        </w:rPr>
        <w:t>𝑃</w:t>
      </w:r>
      <w:r w:rsidRPr="006F2BE8">
        <w:rPr>
          <w:rStyle w:val="Emphaseple"/>
          <w:vertAlign w:val="subscript"/>
        </w:rPr>
        <w:t>𝑡</w:t>
      </w:r>
      <w:r w:rsidR="006F2BE8">
        <w:rPr>
          <w:rStyle w:val="Emphaseple"/>
        </w:rPr>
        <w:t xml:space="preserve"> </w:t>
      </w:r>
      <w:r w:rsidRPr="006F2BE8">
        <w:rPr>
          <w:rStyle w:val="Emphaseple"/>
        </w:rPr>
        <w:t>=</w:t>
      </w:r>
      <w:r w:rsidR="006F2BE8">
        <w:rPr>
          <w:rStyle w:val="Emphaseple"/>
        </w:rPr>
        <w:t xml:space="preserve"> </w:t>
      </w:r>
      <w:r w:rsidRPr="006F2BE8">
        <w:rPr>
          <w:rStyle w:val="Emphaseple"/>
        </w:rPr>
        <w:t>𝑞</w:t>
      </w:r>
      <w:r w:rsidR="006F2BE8">
        <w:rPr>
          <w:rStyle w:val="Emphaseple"/>
        </w:rPr>
        <w:t>.</w:t>
      </w:r>
      <w:r w:rsidRPr="006F2BE8">
        <w:rPr>
          <w:rStyle w:val="Emphaseple"/>
        </w:rPr>
        <w:t>𝐴</w:t>
      </w:r>
      <w:r w:rsidRPr="006F2BE8">
        <w:rPr>
          <w:rStyle w:val="Emphaseple"/>
          <w:vertAlign w:val="subscript"/>
        </w:rPr>
        <w:t>ℎ</w:t>
      </w:r>
      <w:r w:rsidR="006F2BE8">
        <w:rPr>
          <w:rStyle w:val="Emphaseple"/>
        </w:rPr>
        <w:t>.</w:t>
      </w:r>
      <w:r w:rsidRPr="006F2BE8">
        <w:rPr>
          <w:rStyle w:val="Emphaseple"/>
        </w:rPr>
        <w:t>𝐶</w:t>
      </w:r>
      <w:r w:rsidRPr="006F2BE8">
        <w:rPr>
          <w:rStyle w:val="Emphaseple"/>
          <w:vertAlign w:val="subscript"/>
        </w:rPr>
        <w:t>𝑝</w:t>
      </w:r>
    </w:p>
    <w:p w:rsidR="006D26CF" w:rsidRPr="006D26CF" w:rsidRDefault="006D26CF" w:rsidP="00274BC0">
      <w:pPr>
        <w:spacing w:before="120" w:after="0"/>
      </w:pPr>
      <w:proofErr w:type="gramStart"/>
      <w:r w:rsidRPr="006D26CF">
        <w:t>avec</w:t>
      </w:r>
      <w:proofErr w:type="gramEnd"/>
      <w:r w:rsidRPr="006D26CF">
        <w:t xml:space="preserve"> : </w:t>
      </w:r>
    </w:p>
    <w:p w:rsidR="006D26CF" w:rsidRPr="006D26CF" w:rsidRDefault="006D26CF" w:rsidP="006F2BE8">
      <w:pPr>
        <w:pStyle w:val="Paragraphedeliste"/>
        <w:numPr>
          <w:ilvl w:val="0"/>
          <w:numId w:val="15"/>
        </w:numPr>
        <w:spacing w:before="0" w:after="0"/>
      </w:pPr>
      <w:r w:rsidRPr="006F2BE8">
        <w:rPr>
          <w:rStyle w:val="Emphaseple"/>
        </w:rPr>
        <w:t>𝑞</w:t>
      </w:r>
      <w:r w:rsidR="006F2BE8" w:rsidRPr="006F2BE8">
        <w:rPr>
          <w:rStyle w:val="Emphaseple"/>
        </w:rPr>
        <w:t xml:space="preserve"> </w:t>
      </w:r>
      <w:r w:rsidRPr="006F2BE8">
        <w:rPr>
          <w:rStyle w:val="Emphaseple"/>
        </w:rPr>
        <w:t>=</w:t>
      </w:r>
      <w:r w:rsidR="006F2BE8" w:rsidRPr="006F2BE8">
        <w:rPr>
          <w:rStyle w:val="Emphaseple"/>
        </w:rPr>
        <w:t xml:space="preserve"> </w:t>
      </w:r>
      <w:r w:rsidRPr="006F2BE8">
        <w:rPr>
          <w:rStyle w:val="Emphaseple"/>
        </w:rPr>
        <w:t>12</w:t>
      </w:r>
      <w:r w:rsidR="006F2BE8">
        <w:rPr>
          <w:rStyle w:val="Emphaseple"/>
        </w:rPr>
        <w:t>.</w:t>
      </w:r>
      <w:r w:rsidRPr="006F2BE8">
        <w:rPr>
          <w:rStyle w:val="Emphaseple"/>
        </w:rPr>
        <w:t>𝜌</w:t>
      </w:r>
      <w:r w:rsidR="006F2BE8">
        <w:rPr>
          <w:rStyle w:val="Emphaseple"/>
        </w:rPr>
        <w:t>.</w:t>
      </w:r>
      <w:r w:rsidRPr="006F2BE8">
        <w:rPr>
          <w:rStyle w:val="Emphaseple"/>
        </w:rPr>
        <w:t>𝑣</w:t>
      </w:r>
      <w:r w:rsidRPr="006F2BE8">
        <w:rPr>
          <w:rStyle w:val="Emphaseple"/>
          <w:vertAlign w:val="subscript"/>
        </w:rPr>
        <w:t>𝑏</w:t>
      </w:r>
      <w:r w:rsidRPr="006F2BE8">
        <w:rPr>
          <w:rStyle w:val="Emphaseple"/>
        </w:rPr>
        <w:t>²</w:t>
      </w:r>
      <w:r w:rsidR="00F70F3E">
        <w:t> ;</w:t>
      </w:r>
    </w:p>
    <w:p w:rsidR="006D26CF" w:rsidRPr="006D26CF" w:rsidRDefault="006D26CF" w:rsidP="006F2BE8">
      <w:pPr>
        <w:pStyle w:val="Paragraphedeliste"/>
        <w:numPr>
          <w:ilvl w:val="0"/>
          <w:numId w:val="15"/>
        </w:numPr>
        <w:spacing w:before="0" w:after="0"/>
      </w:pPr>
      <w:r w:rsidRPr="006F2BE8">
        <w:rPr>
          <w:rFonts w:ascii="Cambria Math" w:hAnsi="Cambria Math" w:cs="Cambria Math"/>
        </w:rPr>
        <w:t>𝐴</w:t>
      </w:r>
      <w:r w:rsidRPr="006F2BE8">
        <w:rPr>
          <w:rFonts w:ascii="Cambria Math" w:hAnsi="Cambria Math" w:cs="Cambria Math"/>
          <w:vertAlign w:val="subscript"/>
        </w:rPr>
        <w:t>ℎ</w:t>
      </w:r>
      <w:r w:rsidR="006F2BE8" w:rsidRPr="006F2BE8">
        <w:rPr>
          <w:rFonts w:ascii="Cambria Math" w:hAnsi="Cambria Math" w:cs="Cambria Math"/>
        </w:rPr>
        <w:t xml:space="preserve"> </w:t>
      </w:r>
      <w:r w:rsidRPr="006D26CF">
        <w:t>=</w:t>
      </w:r>
      <w:r w:rsidR="006F2BE8">
        <w:t xml:space="preserve"> </w:t>
      </w:r>
      <w:r w:rsidRPr="006D26CF">
        <w:t>7,6×1</w:t>
      </w:r>
      <w:r w:rsidR="006F2BE8">
        <w:t> </w:t>
      </w:r>
      <w:r w:rsidRPr="006D26CF">
        <w:t>280</w:t>
      </w:r>
      <w:r w:rsidR="006F2BE8">
        <w:t xml:space="preserve"> </w:t>
      </w:r>
      <w:r w:rsidRPr="006D26CF">
        <w:t>=</w:t>
      </w:r>
      <w:r w:rsidR="006F2BE8">
        <w:t xml:space="preserve"> </w:t>
      </w:r>
      <w:r w:rsidRPr="006D26CF">
        <w:t>9</w:t>
      </w:r>
      <w:r w:rsidR="006F2BE8">
        <w:t> </w:t>
      </w:r>
      <w:r w:rsidRPr="006D26CF">
        <w:t>278</w:t>
      </w:r>
      <w:r w:rsidR="006F2BE8">
        <w:t> m</w:t>
      </w:r>
      <w:r w:rsidR="006F2BE8" w:rsidRPr="006F2BE8">
        <w:rPr>
          <w:vertAlign w:val="superscript"/>
        </w:rPr>
        <w:t>2</w:t>
      </w:r>
      <w:r w:rsidR="006F2BE8">
        <w:t xml:space="preserve">, </w:t>
      </w:r>
      <w:r w:rsidRPr="006D26CF">
        <w:t>l’aire du tablier projetée horizontalement</w:t>
      </w:r>
      <w:r w:rsidR="00F70F3E">
        <w:t> ;</w:t>
      </w:r>
    </w:p>
    <w:p w:rsidR="006D26CF" w:rsidRDefault="006D26CF" w:rsidP="006F2BE8">
      <w:pPr>
        <w:pStyle w:val="Paragraphedeliste"/>
        <w:numPr>
          <w:ilvl w:val="0"/>
          <w:numId w:val="15"/>
        </w:numPr>
        <w:spacing w:before="0" w:after="0"/>
      </w:pPr>
      <w:r w:rsidRPr="006F2BE8">
        <w:rPr>
          <w:rFonts w:ascii="Cambria Math" w:hAnsi="Cambria Math" w:cs="Cambria Math"/>
        </w:rPr>
        <w:t>𝐶</w:t>
      </w:r>
      <w:r w:rsidRPr="006F2BE8">
        <w:rPr>
          <w:rFonts w:ascii="Cambria Math" w:hAnsi="Cambria Math" w:cs="Cambria Math"/>
          <w:sz w:val="16"/>
          <w:szCs w:val="16"/>
        </w:rPr>
        <w:t>𝑝</w:t>
      </w:r>
      <w:r w:rsidR="006F2BE8" w:rsidRPr="006F2BE8">
        <w:t xml:space="preserve"> </w:t>
      </w:r>
      <w:r w:rsidRPr="006F2BE8">
        <w:t>=</w:t>
      </w:r>
      <w:r w:rsidR="006F2BE8">
        <w:t xml:space="preserve"> </w:t>
      </w:r>
      <w:r w:rsidRPr="006F2BE8">
        <w:t>1,3</w:t>
      </w:r>
      <w:r w:rsidR="006F2BE8">
        <w:t xml:space="preserve">, </w:t>
      </w:r>
      <w:r w:rsidRPr="006D26CF">
        <w:t xml:space="preserve">coefficient de force du vent tel que </w:t>
      </w:r>
      <w:r w:rsidRPr="006F2BE8">
        <w:rPr>
          <w:rStyle w:val="Emphaseple"/>
        </w:rPr>
        <w:t>𝐶</w:t>
      </w:r>
      <w:r w:rsidRPr="006F2BE8">
        <w:rPr>
          <w:rStyle w:val="Emphaseple"/>
          <w:vertAlign w:val="subscript"/>
        </w:rPr>
        <w:t>𝑝</w:t>
      </w:r>
      <w:r w:rsidR="006F2BE8" w:rsidRPr="006F2BE8">
        <w:rPr>
          <w:rStyle w:val="Emphaseple"/>
        </w:rPr>
        <w:t xml:space="preserve"> </w:t>
      </w:r>
      <w:r w:rsidRPr="006F2BE8">
        <w:rPr>
          <w:rStyle w:val="Emphaseple"/>
        </w:rPr>
        <w:t>= 𝑐</w:t>
      </w:r>
      <w:r w:rsidRPr="006F2BE8">
        <w:rPr>
          <w:rStyle w:val="Emphaseple"/>
          <w:vertAlign w:val="subscript"/>
        </w:rPr>
        <w:t>𝑒</w:t>
      </w:r>
      <w:r w:rsidRPr="006F2BE8">
        <w:t>∙</w:t>
      </w:r>
      <w:r w:rsidRPr="006F2BE8">
        <w:rPr>
          <w:rStyle w:val="Emphaseple"/>
        </w:rPr>
        <w:t>𝑐</w:t>
      </w:r>
      <w:r w:rsidRPr="006F2BE8">
        <w:rPr>
          <w:rStyle w:val="Emphaseple"/>
          <w:vertAlign w:val="subscript"/>
        </w:rPr>
        <w:t>𝑓</w:t>
      </w:r>
      <w:r w:rsidRPr="006F2BE8">
        <w:rPr>
          <w:rFonts w:ascii="Cambria Math" w:hAnsi="Cambria Math" w:cs="Cambria Math"/>
          <w:sz w:val="16"/>
          <w:szCs w:val="16"/>
        </w:rPr>
        <w:t xml:space="preserve">, </w:t>
      </w:r>
      <w:r w:rsidRPr="006D26CF">
        <w:t xml:space="preserve">où </w:t>
      </w:r>
      <w:r w:rsidRPr="006F2BE8">
        <w:rPr>
          <w:rStyle w:val="Emphaseple"/>
        </w:rPr>
        <w:t>𝑐</w:t>
      </w:r>
      <w:r w:rsidRPr="006F2BE8">
        <w:rPr>
          <w:rStyle w:val="Emphaseple"/>
          <w:vertAlign w:val="subscript"/>
        </w:rPr>
        <w:t>𝑒</w:t>
      </w:r>
      <w:r w:rsidRPr="006F2BE8">
        <w:rPr>
          <w:rFonts w:ascii="Cambria Math" w:hAnsi="Cambria Math" w:cs="Cambria Math"/>
          <w:sz w:val="16"/>
          <w:szCs w:val="16"/>
        </w:rPr>
        <w:t xml:space="preserve"> </w:t>
      </w:r>
      <w:r w:rsidRPr="006D26CF">
        <w:t xml:space="preserve">est le coefficient d'exposition et </w:t>
      </w:r>
      <w:r w:rsidRPr="006F2BE8">
        <w:rPr>
          <w:rStyle w:val="Emphaseple"/>
        </w:rPr>
        <w:t>𝑐</w:t>
      </w:r>
      <w:r w:rsidRPr="006F2BE8">
        <w:rPr>
          <w:rStyle w:val="Emphaseple"/>
          <w:vertAlign w:val="subscript"/>
        </w:rPr>
        <w:t>𝑓</w:t>
      </w:r>
      <w:r w:rsidRPr="006F2BE8">
        <w:t xml:space="preserve"> </w:t>
      </w:r>
      <w:r w:rsidR="006F2BE8" w:rsidRPr="006F2BE8">
        <w:t xml:space="preserve">est </w:t>
      </w:r>
      <w:r w:rsidRPr="006D26CF">
        <w:t xml:space="preserve">donné par la </w:t>
      </w:r>
      <w:r w:rsidR="006F2BE8">
        <w:t>f</w:t>
      </w:r>
      <w:r w:rsidRPr="006D26CF">
        <w:t>igure 1</w:t>
      </w:r>
      <w:r w:rsidR="005A2C09">
        <w:t>7</w:t>
      </w:r>
      <w:r w:rsidR="006F2BE8">
        <w:t>.</w:t>
      </w:r>
    </w:p>
    <w:p w:rsidR="006F2BE8" w:rsidRDefault="006F2BE8" w:rsidP="006F2BE8">
      <w:pPr>
        <w:pStyle w:val="Sansinterligne"/>
      </w:pPr>
      <w:r>
        <w:rPr>
          <w:noProof/>
          <w:lang w:eastAsia="fr-FR"/>
        </w:rPr>
        <w:lastRenderedPageBreak/>
        <w:drawing>
          <wp:inline distT="0" distB="0" distL="0" distR="0">
            <wp:extent cx="3598130" cy="2907323"/>
            <wp:effectExtent l="19050" t="0" r="232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602346" cy="2910729"/>
                    </a:xfrm>
                    <a:prstGeom prst="rect">
                      <a:avLst/>
                    </a:prstGeom>
                    <a:noFill/>
                    <a:ln w="9525">
                      <a:noFill/>
                      <a:miter lim="800000"/>
                      <a:headEnd/>
                      <a:tailEnd/>
                    </a:ln>
                  </pic:spPr>
                </pic:pic>
              </a:graphicData>
            </a:graphic>
          </wp:inline>
        </w:drawing>
      </w:r>
    </w:p>
    <w:p w:rsidR="006F2BE8" w:rsidRPr="006D26CF" w:rsidRDefault="006F2BE8" w:rsidP="006F2BE8">
      <w:pPr>
        <w:pStyle w:val="Lgende"/>
      </w:pPr>
      <w:r>
        <w:t xml:space="preserve">Figure </w:t>
      </w:r>
      <w:fldSimple w:instr=" SEQ Figure \* ARABIC ">
        <w:r w:rsidR="00B34EA9">
          <w:rPr>
            <w:noProof/>
          </w:rPr>
          <w:t>17</w:t>
        </w:r>
      </w:fldSimple>
      <w:r>
        <w:t> : Coefficient de force applicable aux tabliers de pont, source EUROCODE 1 NF-EN-1991-1-4</w:t>
      </w:r>
    </w:p>
    <w:p w:rsidR="006F2BE8" w:rsidRDefault="006D26CF" w:rsidP="006F2BE8">
      <w:pPr>
        <w:spacing w:after="0"/>
      </w:pPr>
      <w:r w:rsidRPr="006D26CF">
        <w:t>En app</w:t>
      </w:r>
      <w:r w:rsidR="006F2BE8">
        <w:t>liquant la formule, on trouve :</w:t>
      </w:r>
    </w:p>
    <w:p w:rsidR="006D26CF" w:rsidRPr="006D26CF" w:rsidRDefault="006D26CF" w:rsidP="000C7E26">
      <w:pPr>
        <w:shd w:val="clear" w:color="auto" w:fill="ECF5F8"/>
        <w:spacing w:before="0"/>
        <w:jc w:val="center"/>
      </w:pPr>
      <w:r w:rsidRPr="006F2BE8">
        <w:rPr>
          <w:rStyle w:val="Emphaseple"/>
        </w:rPr>
        <w:t>𝑃</w:t>
      </w:r>
      <w:r w:rsidRPr="006F2BE8">
        <w:rPr>
          <w:rStyle w:val="Emphaseple"/>
          <w:shd w:val="clear" w:color="auto" w:fill="F2F2F2" w:themeFill="background1" w:themeFillShade="F2"/>
          <w:vertAlign w:val="subscript"/>
        </w:rPr>
        <w:t>𝑡</w:t>
      </w:r>
      <w:r w:rsidR="006F2BE8">
        <w:rPr>
          <w:rFonts w:ascii="Cambria Math" w:hAnsi="Cambria Math" w:cs="Cambria Math"/>
          <w:sz w:val="16"/>
          <w:szCs w:val="16"/>
        </w:rPr>
        <w:t xml:space="preserve"> </w:t>
      </w:r>
      <w:r w:rsidR="00274BC0" w:rsidRPr="00274BC0">
        <w:t xml:space="preserve"> </w:t>
      </w:r>
      <w:r w:rsidRPr="006D26CF">
        <w:t>=</w:t>
      </w:r>
      <w:r w:rsidR="006F2BE8">
        <w:t xml:space="preserve"> </w:t>
      </w:r>
      <w:r w:rsidRPr="006D26CF">
        <w:t xml:space="preserve">9,6 </w:t>
      </w:r>
      <w:proofErr w:type="spellStart"/>
      <w:r w:rsidRPr="006D26CF">
        <w:t>kN</w:t>
      </w:r>
      <w:proofErr w:type="spellEnd"/>
      <w:r w:rsidRPr="006D26CF">
        <w:t>/m</w:t>
      </w:r>
    </w:p>
    <w:p w:rsidR="006F2BE8" w:rsidRDefault="006D26CF" w:rsidP="006F2BE8">
      <w:pPr>
        <w:rPr>
          <w:rFonts w:ascii="Cambria Math" w:hAnsi="Cambria Math" w:cs="Cambria Math"/>
          <w:sz w:val="16"/>
          <w:szCs w:val="16"/>
        </w:rPr>
      </w:pPr>
      <w:r w:rsidRPr="006D26CF">
        <w:t xml:space="preserve">De plus, il est aussi important de considérer les efforts </w:t>
      </w:r>
      <w:r w:rsidRPr="006D26CF">
        <w:rPr>
          <w:b/>
          <w:bCs/>
        </w:rPr>
        <w:t>verticaux</w:t>
      </w:r>
      <w:r w:rsidRPr="00D65F01">
        <w:rPr>
          <w:bCs/>
        </w:rPr>
        <w:t xml:space="preserve"> </w:t>
      </w:r>
      <w:r w:rsidR="00D65F01" w:rsidRPr="00D65F01">
        <w:rPr>
          <w:bCs/>
        </w:rPr>
        <w:t xml:space="preserve">de soulèvement du tablier </w:t>
      </w:r>
      <w:r w:rsidRPr="006D26CF">
        <w:t xml:space="preserve">engendrés par le vent à l’aide de la formule : </w:t>
      </w:r>
      <w:r w:rsidRPr="006F2BE8">
        <w:rPr>
          <w:rStyle w:val="Emphaseple"/>
        </w:rPr>
        <w:t>𝑃</w:t>
      </w:r>
      <w:r w:rsidRPr="006F2BE8">
        <w:rPr>
          <w:rStyle w:val="Emphaseple"/>
          <w:vertAlign w:val="subscript"/>
        </w:rPr>
        <w:t>𝑣</w:t>
      </w:r>
      <w:r w:rsidR="006F2BE8">
        <w:rPr>
          <w:rStyle w:val="Emphaseple"/>
        </w:rPr>
        <w:t xml:space="preserve"> </w:t>
      </w:r>
      <w:r w:rsidRPr="006F2BE8">
        <w:rPr>
          <w:rStyle w:val="Emphaseple"/>
        </w:rPr>
        <w:t>=</w:t>
      </w:r>
      <w:r w:rsidR="006F2BE8">
        <w:rPr>
          <w:rStyle w:val="Emphaseple"/>
        </w:rPr>
        <w:t xml:space="preserve"> </w:t>
      </w:r>
      <w:r w:rsidRPr="006F2BE8">
        <w:rPr>
          <w:rStyle w:val="Emphaseple"/>
        </w:rPr>
        <w:t>𝑞</w:t>
      </w:r>
      <w:r w:rsidR="006F2BE8">
        <w:rPr>
          <w:rStyle w:val="Emphaseple"/>
        </w:rPr>
        <w:t>.</w:t>
      </w:r>
      <w:r w:rsidRPr="006F2BE8">
        <w:rPr>
          <w:rStyle w:val="Emphaseple"/>
        </w:rPr>
        <w:t>𝐴</w:t>
      </w:r>
      <w:r w:rsidRPr="006F2BE8">
        <w:rPr>
          <w:rStyle w:val="Emphaseple"/>
          <w:vertAlign w:val="subscript"/>
        </w:rPr>
        <w:t>𝑣</w:t>
      </w:r>
      <w:r w:rsidR="006F2BE8">
        <w:rPr>
          <w:rStyle w:val="Emphaseple"/>
        </w:rPr>
        <w:t>.</w:t>
      </w:r>
      <w:r w:rsidRPr="006F2BE8">
        <w:rPr>
          <w:rStyle w:val="Emphaseple"/>
        </w:rPr>
        <w:t>𝐶</w:t>
      </w:r>
      <w:r w:rsidRPr="006F2BE8">
        <w:rPr>
          <w:rStyle w:val="Emphaseple"/>
          <w:vertAlign w:val="subscript"/>
        </w:rPr>
        <w:t>𝐿</w:t>
      </w:r>
    </w:p>
    <w:p w:rsidR="006D26CF" w:rsidRPr="006D26CF" w:rsidRDefault="006D26CF" w:rsidP="00274BC0">
      <w:pPr>
        <w:spacing w:before="120" w:after="0"/>
      </w:pPr>
      <w:proofErr w:type="gramStart"/>
      <w:r w:rsidRPr="006D26CF">
        <w:t>avec</w:t>
      </w:r>
      <w:proofErr w:type="gramEnd"/>
      <w:r w:rsidRPr="006D26CF">
        <w:t xml:space="preserve"> : </w:t>
      </w:r>
    </w:p>
    <w:p w:rsidR="006D26CF" w:rsidRPr="006F2BE8" w:rsidRDefault="006D26CF" w:rsidP="006F2BE8">
      <w:pPr>
        <w:pStyle w:val="Paragraphedeliste"/>
        <w:numPr>
          <w:ilvl w:val="0"/>
          <w:numId w:val="16"/>
        </w:numPr>
        <w:spacing w:before="0"/>
        <w:ind w:left="714" w:hanging="357"/>
        <w:rPr>
          <w:rStyle w:val="Emphaseple"/>
        </w:rPr>
      </w:pPr>
      <w:r w:rsidRPr="006F2BE8">
        <w:rPr>
          <w:rStyle w:val="Emphaseple"/>
        </w:rPr>
        <w:t>𝑞</w:t>
      </w:r>
      <w:r w:rsidR="006F2BE8" w:rsidRPr="006F2BE8">
        <w:rPr>
          <w:rStyle w:val="Emphaseple"/>
        </w:rPr>
        <w:t xml:space="preserve"> </w:t>
      </w:r>
      <w:r w:rsidRPr="006F2BE8">
        <w:rPr>
          <w:rStyle w:val="Emphaseple"/>
        </w:rPr>
        <w:t>=</w:t>
      </w:r>
      <w:r w:rsidR="006F2BE8" w:rsidRPr="006F2BE8">
        <w:rPr>
          <w:rStyle w:val="Emphaseple"/>
        </w:rPr>
        <w:t xml:space="preserve"> </w:t>
      </w:r>
      <w:r w:rsidRPr="006F2BE8">
        <w:rPr>
          <w:rStyle w:val="Emphaseple"/>
        </w:rPr>
        <w:t>12</w:t>
      </w:r>
      <w:r w:rsidR="006F2BE8" w:rsidRPr="006F2BE8">
        <w:rPr>
          <w:rStyle w:val="Emphaseple"/>
        </w:rPr>
        <w:t>.</w:t>
      </w:r>
      <w:r w:rsidRPr="006F2BE8">
        <w:rPr>
          <w:rStyle w:val="Emphaseple"/>
        </w:rPr>
        <w:t>𝜌</w:t>
      </w:r>
      <w:r w:rsidR="006F2BE8" w:rsidRPr="006F2BE8">
        <w:rPr>
          <w:rStyle w:val="Emphaseple"/>
        </w:rPr>
        <w:t>.</w:t>
      </w:r>
      <w:r w:rsidRPr="006F2BE8">
        <w:rPr>
          <w:rStyle w:val="Emphaseple"/>
        </w:rPr>
        <w:t>𝑣</w:t>
      </w:r>
      <w:r w:rsidRPr="006F2BE8">
        <w:rPr>
          <w:rStyle w:val="Emphaseple"/>
          <w:vertAlign w:val="subscript"/>
        </w:rPr>
        <w:t>𝑏</w:t>
      </w:r>
      <w:r w:rsidRPr="006F2BE8">
        <w:rPr>
          <w:rStyle w:val="Emphaseple"/>
        </w:rPr>
        <w:t>²</w:t>
      </w:r>
      <w:r w:rsidR="00F70F3E">
        <w:rPr>
          <w:rStyle w:val="Emphaseple"/>
        </w:rPr>
        <w:t> </w:t>
      </w:r>
      <w:r w:rsidR="00F70F3E" w:rsidRPr="00F70F3E">
        <w:t>;</w:t>
      </w:r>
    </w:p>
    <w:p w:rsidR="006D26CF" w:rsidRPr="006D26CF" w:rsidRDefault="006D26CF" w:rsidP="006F2BE8">
      <w:pPr>
        <w:pStyle w:val="Paragraphedeliste"/>
        <w:numPr>
          <w:ilvl w:val="0"/>
          <w:numId w:val="16"/>
        </w:numPr>
      </w:pPr>
      <w:r w:rsidRPr="006F2BE8">
        <w:rPr>
          <w:rFonts w:ascii="Cambria Math" w:hAnsi="Cambria Math" w:cs="Cambria Math"/>
          <w:i/>
        </w:rPr>
        <w:t>𝐴</w:t>
      </w:r>
      <w:r w:rsidR="006F2BE8" w:rsidRPr="006F2BE8">
        <w:rPr>
          <w:rFonts w:ascii="Cambria Math" w:hAnsi="Cambria Math" w:cs="Cambria Math"/>
          <w:i/>
          <w:vertAlign w:val="subscript"/>
        </w:rPr>
        <w:t>v</w:t>
      </w:r>
      <w:r w:rsidR="006F2BE8" w:rsidRPr="006F2BE8">
        <w:t xml:space="preserve"> </w:t>
      </w:r>
      <w:r w:rsidRPr="006D26CF">
        <w:t>=</w:t>
      </w:r>
      <w:r w:rsidR="006F2BE8">
        <w:t xml:space="preserve"> </w:t>
      </w:r>
      <w:r w:rsidRPr="006D26CF">
        <w:t>27×1280</w:t>
      </w:r>
      <w:r w:rsidR="006F2BE8">
        <w:t xml:space="preserve"> </w:t>
      </w:r>
      <w:r w:rsidRPr="006D26CF">
        <w:t>=</w:t>
      </w:r>
      <w:r w:rsidR="006F2BE8">
        <w:t xml:space="preserve"> </w:t>
      </w:r>
      <w:r w:rsidRPr="006D26CF">
        <w:t>34</w:t>
      </w:r>
      <w:r w:rsidR="006F2BE8">
        <w:t> </w:t>
      </w:r>
      <w:r w:rsidRPr="006D26CF">
        <w:t>560</w:t>
      </w:r>
      <w:r w:rsidRPr="006F2BE8">
        <w:t xml:space="preserve"> </w:t>
      </w:r>
      <w:r w:rsidR="006F2BE8" w:rsidRPr="006F2BE8">
        <w:t>m</w:t>
      </w:r>
      <w:r w:rsidR="006F2BE8" w:rsidRPr="006F2BE8">
        <w:rPr>
          <w:vertAlign w:val="superscript"/>
        </w:rPr>
        <w:t>2</w:t>
      </w:r>
      <w:r w:rsidR="006F2BE8">
        <w:t>,</w:t>
      </w:r>
      <w:r w:rsidRPr="006D26CF">
        <w:t xml:space="preserve"> l’aire du tablier projetée verticalement</w:t>
      </w:r>
      <w:r w:rsidR="00F70F3E">
        <w:t> ;</w:t>
      </w:r>
      <w:r w:rsidRPr="006D26CF">
        <w:t xml:space="preserve"> </w:t>
      </w:r>
    </w:p>
    <w:p w:rsidR="006D26CF" w:rsidRPr="006D26CF" w:rsidRDefault="006D26CF" w:rsidP="006F2BE8">
      <w:pPr>
        <w:pStyle w:val="Paragraphedeliste"/>
        <w:numPr>
          <w:ilvl w:val="0"/>
          <w:numId w:val="16"/>
        </w:numPr>
      </w:pPr>
      <w:r w:rsidRPr="006F2BE8">
        <w:rPr>
          <w:rStyle w:val="Emphaseple"/>
        </w:rPr>
        <w:t>𝐶</w:t>
      </w:r>
      <w:r w:rsidRPr="006F2BE8">
        <w:rPr>
          <w:rStyle w:val="Emphaseple"/>
          <w:vertAlign w:val="subscript"/>
        </w:rPr>
        <w:t>𝐿</w:t>
      </w:r>
      <w:r w:rsidR="006F2BE8">
        <w:rPr>
          <w:rStyle w:val="Emphaseple"/>
        </w:rPr>
        <w:t xml:space="preserve"> </w:t>
      </w:r>
      <w:r w:rsidRPr="006F2BE8">
        <w:t>=</w:t>
      </w:r>
      <w:r w:rsidR="006F2BE8" w:rsidRPr="006F2BE8">
        <w:t xml:space="preserve"> </w:t>
      </w:r>
      <w:r w:rsidRPr="006F2BE8">
        <w:t>0,4</w:t>
      </w:r>
      <w:r w:rsidR="006F2BE8" w:rsidRPr="006F2BE8">
        <w:t>,</w:t>
      </w:r>
      <w:r w:rsidRPr="006D26CF">
        <w:t xml:space="preserve"> coefficient de force du vent comme précédemment. </w:t>
      </w:r>
    </w:p>
    <w:p w:rsidR="00274BC0" w:rsidRDefault="006D26CF" w:rsidP="00274BC0">
      <w:pPr>
        <w:spacing w:after="0"/>
      </w:pPr>
      <w:r w:rsidRPr="006D26CF">
        <w:t>On obtient :</w:t>
      </w:r>
    </w:p>
    <w:p w:rsidR="006D26CF" w:rsidRPr="006D26CF" w:rsidRDefault="006D26CF" w:rsidP="000C7E26">
      <w:pPr>
        <w:shd w:val="clear" w:color="auto" w:fill="ECF5F8"/>
        <w:spacing w:before="0"/>
        <w:jc w:val="center"/>
        <w:rPr>
          <w:rFonts w:ascii="Calibri" w:hAnsi="Calibri" w:cs="Calibri"/>
        </w:rPr>
      </w:pPr>
      <w:r w:rsidRPr="00274BC0">
        <w:rPr>
          <w:rStyle w:val="Emphaseple"/>
        </w:rPr>
        <w:t>𝑃</w:t>
      </w:r>
      <w:r w:rsidRPr="00274BC0">
        <w:rPr>
          <w:rStyle w:val="Emphaseple"/>
          <w:vertAlign w:val="subscript"/>
        </w:rPr>
        <w:t>𝑣</w:t>
      </w:r>
      <w:r w:rsidR="00274BC0" w:rsidRPr="00274BC0">
        <w:rPr>
          <w:rStyle w:val="Emphaseple"/>
        </w:rPr>
        <w:t xml:space="preserve"> </w:t>
      </w:r>
      <w:r w:rsidRPr="006D26CF">
        <w:t>=</w:t>
      </w:r>
      <w:r w:rsidR="00274BC0">
        <w:t xml:space="preserve"> </w:t>
      </w:r>
      <w:r w:rsidRPr="006D26CF">
        <w:t xml:space="preserve">10,4 </w:t>
      </w:r>
      <w:proofErr w:type="spellStart"/>
      <w:r w:rsidRPr="006D26CF">
        <w:t>kN</w:t>
      </w:r>
      <w:proofErr w:type="spellEnd"/>
      <w:r w:rsidRPr="006D26CF">
        <w:t>/m</w:t>
      </w:r>
    </w:p>
    <w:p w:rsidR="006D26CF" w:rsidRPr="00274BC0" w:rsidRDefault="006D26CF" w:rsidP="00DF79DB">
      <w:pPr>
        <w:spacing w:before="360"/>
        <w:rPr>
          <w:b/>
        </w:rPr>
      </w:pPr>
      <w:r w:rsidRPr="00274BC0">
        <w:rPr>
          <w:b/>
        </w:rPr>
        <w:t xml:space="preserve">Charges dues aux effets thermiques : </w:t>
      </w:r>
    </w:p>
    <w:p w:rsidR="006D26CF" w:rsidRPr="006D26CF" w:rsidRDefault="006D26CF" w:rsidP="00274BC0">
      <w:r w:rsidRPr="006D26CF">
        <w:t xml:space="preserve">Deux effets de la température sont à considérer : </w:t>
      </w:r>
    </w:p>
    <w:p w:rsidR="006D26CF" w:rsidRPr="006D26CF" w:rsidRDefault="00274BC0" w:rsidP="00274BC0">
      <w:pPr>
        <w:pStyle w:val="Paragraphedeliste"/>
        <w:numPr>
          <w:ilvl w:val="0"/>
          <w:numId w:val="17"/>
        </w:numPr>
        <w:spacing w:before="120"/>
        <w:ind w:left="714" w:hanging="357"/>
      </w:pPr>
      <w:r>
        <w:t>d</w:t>
      </w:r>
      <w:r w:rsidR="006D26CF" w:rsidRPr="006D26CF">
        <w:t>u fait des augmentations et diminutions de la température</w:t>
      </w:r>
      <w:r>
        <w:t> ;</w:t>
      </w:r>
      <w:r w:rsidR="006D26CF" w:rsidRPr="006D26CF">
        <w:t xml:space="preserve"> </w:t>
      </w:r>
    </w:p>
    <w:p w:rsidR="006D26CF" w:rsidRPr="006D26CF" w:rsidRDefault="00274BC0" w:rsidP="00274BC0">
      <w:pPr>
        <w:pStyle w:val="Paragraphedeliste"/>
        <w:numPr>
          <w:ilvl w:val="0"/>
          <w:numId w:val="17"/>
        </w:numPr>
      </w:pPr>
      <w:r>
        <w:t>à</w:t>
      </w:r>
      <w:r w:rsidR="006D26CF" w:rsidRPr="006D26CF">
        <w:t xml:space="preserve"> cause des différences de température entre les parties inférieures et supérieures de la structure. </w:t>
      </w:r>
    </w:p>
    <w:p w:rsidR="00274BC0" w:rsidRDefault="006D26CF" w:rsidP="00274BC0">
      <w:r w:rsidRPr="006D26CF">
        <w:t>Pour déterminer la contrainte en</w:t>
      </w:r>
      <w:r w:rsidR="00274BC0">
        <w:t>gendrée on utilise la formule :</w:t>
      </w:r>
    </w:p>
    <w:p w:rsidR="006D26CF" w:rsidRPr="00274BC0" w:rsidRDefault="006D26CF" w:rsidP="00DF79DB">
      <w:pPr>
        <w:spacing w:after="0"/>
        <w:jc w:val="center"/>
        <w:rPr>
          <w:rStyle w:val="Emphaseple"/>
        </w:rPr>
      </w:pPr>
      <w:r w:rsidRPr="00274BC0">
        <w:rPr>
          <w:rStyle w:val="Emphaseple"/>
        </w:rPr>
        <w:t>𝜎</w:t>
      </w:r>
      <w:r w:rsidR="00274BC0">
        <w:rPr>
          <w:rStyle w:val="Emphaseple"/>
        </w:rPr>
        <w:t xml:space="preserve"> </w:t>
      </w:r>
      <w:r w:rsidRPr="00274BC0">
        <w:rPr>
          <w:rStyle w:val="Emphaseple"/>
        </w:rPr>
        <w:t xml:space="preserve">= </w:t>
      </w:r>
      <w:r w:rsidR="00274BC0">
        <w:rPr>
          <w:rStyle w:val="Emphaseple"/>
        </w:rPr>
        <w:t xml:space="preserve"> </w:t>
      </w:r>
      <w:r w:rsidRPr="00274BC0">
        <w:rPr>
          <w:rStyle w:val="Emphaseple"/>
        </w:rPr>
        <w:t>Δ𝑇</w:t>
      </w:r>
      <w:r w:rsidR="00274BC0">
        <w:rPr>
          <w:rStyle w:val="Emphaseple"/>
        </w:rPr>
        <w:t>.</w:t>
      </w:r>
      <w:r w:rsidRPr="00274BC0">
        <w:rPr>
          <w:rStyle w:val="Emphaseple"/>
        </w:rPr>
        <w:t>𝛼</w:t>
      </w:r>
      <w:r w:rsidR="00274BC0">
        <w:rPr>
          <w:rStyle w:val="Emphaseple"/>
        </w:rPr>
        <w:t>.</w:t>
      </w:r>
      <w:r w:rsidRPr="00274BC0">
        <w:rPr>
          <w:rStyle w:val="Emphaseple"/>
        </w:rPr>
        <w:t>𝐸</w:t>
      </w:r>
    </w:p>
    <w:p w:rsidR="006D26CF" w:rsidRPr="006D26CF" w:rsidRDefault="006D26CF" w:rsidP="00DF79DB">
      <w:pPr>
        <w:spacing w:before="0" w:after="0"/>
        <w:rPr>
          <w:rFonts w:ascii="Calibri" w:hAnsi="Calibri" w:cs="Calibri"/>
          <w:color w:val="000000"/>
          <w:sz w:val="24"/>
          <w:szCs w:val="24"/>
        </w:rPr>
      </w:pPr>
      <w:r w:rsidRPr="006D26CF">
        <w:t>Avec :</w:t>
      </w:r>
      <w:r w:rsidR="00274BC0" w:rsidRPr="006D26CF">
        <w:rPr>
          <w:rFonts w:ascii="Calibri" w:hAnsi="Calibri" w:cs="Calibri"/>
          <w:color w:val="000000"/>
          <w:sz w:val="24"/>
          <w:szCs w:val="24"/>
        </w:rPr>
        <w:t xml:space="preserve"> </w:t>
      </w:r>
    </w:p>
    <w:p w:rsidR="006D26CF" w:rsidRPr="006D26CF" w:rsidRDefault="006D26CF" w:rsidP="00274BC0">
      <w:pPr>
        <w:pStyle w:val="Paragraphedeliste"/>
        <w:numPr>
          <w:ilvl w:val="0"/>
          <w:numId w:val="18"/>
        </w:numPr>
        <w:spacing w:before="0"/>
        <w:ind w:left="714" w:hanging="357"/>
      </w:pPr>
      <w:r w:rsidRPr="00274BC0">
        <w:rPr>
          <w:rStyle w:val="Emphaseple"/>
        </w:rPr>
        <w:t>Δ𝑇</w:t>
      </w:r>
      <w:r w:rsidR="00274BC0" w:rsidRPr="00274BC0">
        <w:rPr>
          <w:rFonts w:ascii="Cambria Math" w:hAnsi="Cambria Math" w:cs="Cambria Math"/>
        </w:rPr>
        <w:t xml:space="preserve"> </w:t>
      </w:r>
      <w:r w:rsidRPr="006D26CF">
        <w:t>=</w:t>
      </w:r>
      <w:r w:rsidR="00274BC0">
        <w:t xml:space="preserve"> 20°C, </w:t>
      </w:r>
      <w:r w:rsidRPr="006D26CF">
        <w:t>la différence de température</w:t>
      </w:r>
      <w:r w:rsidR="00274BC0">
        <w:t> ;</w:t>
      </w:r>
      <w:r w:rsidRPr="006D26CF">
        <w:t xml:space="preserve"> </w:t>
      </w:r>
    </w:p>
    <w:p w:rsidR="006D26CF" w:rsidRPr="006D26CF" w:rsidRDefault="006D26CF" w:rsidP="00274BC0">
      <w:pPr>
        <w:pStyle w:val="Paragraphedeliste"/>
        <w:numPr>
          <w:ilvl w:val="0"/>
          <w:numId w:val="18"/>
        </w:numPr>
        <w:spacing w:before="0"/>
        <w:ind w:left="714" w:hanging="357"/>
      </w:pPr>
      <w:r w:rsidRPr="00274BC0">
        <w:rPr>
          <w:rFonts w:ascii="Cambria Math" w:hAnsi="Cambria Math" w:cs="Cambria Math"/>
        </w:rPr>
        <w:t>𝛼</w:t>
      </w:r>
      <w:r w:rsidR="00274BC0" w:rsidRPr="00274BC0">
        <w:rPr>
          <w:rFonts w:ascii="Cambria Math" w:hAnsi="Cambria Math" w:cs="Cambria Math"/>
        </w:rPr>
        <w:t xml:space="preserve"> </w:t>
      </w:r>
      <w:r w:rsidRPr="00274BC0">
        <w:t>=</w:t>
      </w:r>
      <w:r w:rsidR="00274BC0" w:rsidRPr="00274BC0">
        <w:t xml:space="preserve"> </w:t>
      </w:r>
      <w:r w:rsidRPr="00274BC0">
        <w:t>12×10</w:t>
      </w:r>
      <w:r w:rsidRPr="00274BC0">
        <w:rPr>
          <w:vertAlign w:val="superscript"/>
        </w:rPr>
        <w:t>−6</w:t>
      </w:r>
      <w:r w:rsidRPr="00274BC0">
        <w:t xml:space="preserve"> /°C</w:t>
      </w:r>
      <w:r w:rsidR="00274BC0">
        <w:t>,</w:t>
      </w:r>
      <w:r w:rsidRPr="00274BC0">
        <w:rPr>
          <w:rFonts w:ascii="Cambria Math" w:hAnsi="Cambria Math" w:cs="Cambria Math"/>
        </w:rPr>
        <w:t xml:space="preserve"> </w:t>
      </w:r>
      <w:r w:rsidRPr="006D26CF">
        <w:t>le coefficient d’expansion thermique de l’acier et du béton</w:t>
      </w:r>
      <w:r w:rsidR="00274BC0">
        <w:t> ;</w:t>
      </w:r>
      <w:r w:rsidRPr="006D26CF">
        <w:t xml:space="preserve"> </w:t>
      </w:r>
    </w:p>
    <w:p w:rsidR="006D26CF" w:rsidRPr="006D26CF" w:rsidRDefault="006D26CF" w:rsidP="00274BC0">
      <w:pPr>
        <w:pStyle w:val="Paragraphedeliste"/>
        <w:numPr>
          <w:ilvl w:val="0"/>
          <w:numId w:val="18"/>
        </w:numPr>
        <w:spacing w:before="0"/>
        <w:ind w:left="714" w:hanging="357"/>
      </w:pPr>
      <w:r w:rsidRPr="00274BC0">
        <w:rPr>
          <w:rFonts w:ascii="Cambria Math" w:hAnsi="Cambria Math" w:cs="Cambria Math"/>
        </w:rPr>
        <w:t>𝐸</w:t>
      </w:r>
      <w:r w:rsidR="00274BC0" w:rsidRPr="00274BC0">
        <w:rPr>
          <w:rFonts w:ascii="Cambria Math" w:hAnsi="Cambria Math" w:cs="Cambria Math"/>
        </w:rPr>
        <w:t xml:space="preserve"> </w:t>
      </w:r>
      <w:r w:rsidRPr="006D26CF">
        <w:t>=</w:t>
      </w:r>
      <w:r w:rsidR="00274BC0">
        <w:t xml:space="preserve"> </w:t>
      </w:r>
      <w:r w:rsidRPr="006D26CF">
        <w:t>200 MPa</w:t>
      </w:r>
      <w:r w:rsidR="00274BC0">
        <w:t>,</w:t>
      </w:r>
      <w:r w:rsidRPr="006D26CF">
        <w:t xml:space="preserve"> le module d’Young de l’acier. </w:t>
      </w:r>
    </w:p>
    <w:p w:rsidR="006D26CF" w:rsidRPr="006D26CF" w:rsidRDefault="006D26CF" w:rsidP="00274BC0">
      <w:r w:rsidRPr="006D26CF">
        <w:t xml:space="preserve">On obtient donc : </w:t>
      </w:r>
      <w:r w:rsidRPr="00274BC0">
        <w:rPr>
          <w:rStyle w:val="Emphaseple"/>
        </w:rPr>
        <w:t>𝜎</w:t>
      </w:r>
      <w:r w:rsidR="00274BC0">
        <w:rPr>
          <w:rFonts w:ascii="Cambria Math" w:hAnsi="Cambria Math" w:cs="Cambria Math"/>
        </w:rPr>
        <w:t xml:space="preserve"> </w:t>
      </w:r>
      <w:r w:rsidRPr="006D26CF">
        <w:t>=</w:t>
      </w:r>
      <w:r w:rsidR="00274BC0">
        <w:t xml:space="preserve"> </w:t>
      </w:r>
      <w:r w:rsidRPr="006D26CF">
        <w:t xml:space="preserve">48 MPa. </w:t>
      </w:r>
    </w:p>
    <w:p w:rsidR="00274BC0" w:rsidRDefault="006D26CF" w:rsidP="00274BC0">
      <w:pPr>
        <w:spacing w:after="0"/>
      </w:pPr>
      <w:r w:rsidRPr="006D26CF">
        <w:t>On peut aussi calculer l’allongement tel que :</w:t>
      </w:r>
    </w:p>
    <w:p w:rsidR="006D26CF" w:rsidRPr="00274BC0" w:rsidRDefault="006D26CF" w:rsidP="000C7E26">
      <w:pPr>
        <w:shd w:val="clear" w:color="auto" w:fill="ECF5F8"/>
        <w:spacing w:before="0"/>
        <w:jc w:val="center"/>
        <w:rPr>
          <w:rStyle w:val="Emphaseple"/>
        </w:rPr>
      </w:pPr>
      <w:r w:rsidRPr="00274BC0">
        <w:rPr>
          <w:rStyle w:val="Emphaseple"/>
        </w:rPr>
        <w:t>Δ</w:t>
      </w:r>
      <w:r w:rsidRPr="00274BC0">
        <w:rPr>
          <w:rStyle w:val="Emphaseple"/>
          <w:vertAlign w:val="subscript"/>
        </w:rPr>
        <w:t>𝐿</w:t>
      </w:r>
      <w:r w:rsidR="00274BC0">
        <w:rPr>
          <w:rStyle w:val="Emphaseple"/>
        </w:rPr>
        <w:t xml:space="preserve"> </w:t>
      </w:r>
      <w:r w:rsidRPr="00274BC0">
        <w:rPr>
          <w:rStyle w:val="Emphaseple"/>
        </w:rPr>
        <w:t>=</w:t>
      </w:r>
      <w:r w:rsidR="00274BC0">
        <w:rPr>
          <w:rStyle w:val="Emphaseple"/>
        </w:rPr>
        <w:t xml:space="preserve"> </w:t>
      </w:r>
      <w:r w:rsidRPr="00274BC0">
        <w:rPr>
          <w:rStyle w:val="Emphaseple"/>
        </w:rPr>
        <w:t>𝛼</w:t>
      </w:r>
      <w:r w:rsidR="00274BC0">
        <w:rPr>
          <w:rStyle w:val="Emphaseple"/>
        </w:rPr>
        <w:t>.</w:t>
      </w:r>
      <w:r w:rsidRPr="00274BC0">
        <w:rPr>
          <w:rStyle w:val="Emphaseple"/>
        </w:rPr>
        <w:t>Δ𝑇</w:t>
      </w:r>
      <w:r w:rsidR="00274BC0">
        <w:rPr>
          <w:rStyle w:val="Emphaseple"/>
        </w:rPr>
        <w:t>.</w:t>
      </w:r>
      <w:r w:rsidRPr="00274BC0">
        <w:rPr>
          <w:rStyle w:val="Emphaseple"/>
        </w:rPr>
        <w:t>𝐿</w:t>
      </w:r>
      <w:r w:rsidRPr="00274BC0">
        <w:rPr>
          <w:rStyle w:val="Emphaseple"/>
          <w:vertAlign w:val="subscript"/>
        </w:rPr>
        <w:t>0</w:t>
      </w:r>
      <w:r w:rsidR="00274BC0">
        <w:rPr>
          <w:rStyle w:val="Emphaseple"/>
        </w:rPr>
        <w:t xml:space="preserve"> </w:t>
      </w:r>
      <w:r w:rsidRPr="00274BC0">
        <w:t>=</w:t>
      </w:r>
      <w:r w:rsidR="00274BC0" w:rsidRPr="00274BC0">
        <w:t xml:space="preserve"> </w:t>
      </w:r>
      <w:r w:rsidRPr="00274BC0">
        <w:t>30,72 cm</w:t>
      </w:r>
    </w:p>
    <w:p w:rsidR="006D26CF" w:rsidRPr="004326DC" w:rsidRDefault="006D26CF" w:rsidP="004326DC">
      <w:pPr>
        <w:rPr>
          <w:b/>
        </w:rPr>
      </w:pPr>
      <w:r w:rsidRPr="004326DC">
        <w:rPr>
          <w:b/>
        </w:rPr>
        <w:lastRenderedPageBreak/>
        <w:t xml:space="preserve">Charges verticales : </w:t>
      </w:r>
    </w:p>
    <w:p w:rsidR="004326DC" w:rsidRDefault="006D26CF" w:rsidP="004326DC">
      <w:pPr>
        <w:spacing w:after="0"/>
      </w:pPr>
      <w:r w:rsidRPr="006D26CF">
        <w:t>On peut maintenant calculer la somme des charges ve</w:t>
      </w:r>
      <w:r w:rsidR="004326DC">
        <w:t>rticales pour un cas de foule :</w:t>
      </w:r>
    </w:p>
    <w:p w:rsidR="006D26CF" w:rsidRPr="006D26CF" w:rsidRDefault="006D26CF" w:rsidP="000C7E26">
      <w:pPr>
        <w:shd w:val="clear" w:color="auto" w:fill="ECF5F8"/>
        <w:spacing w:before="0"/>
        <w:jc w:val="center"/>
      </w:pPr>
      <w:r w:rsidRPr="004326DC">
        <w:rPr>
          <w:rStyle w:val="Emphaseple"/>
        </w:rPr>
        <w:t>𝑉</w:t>
      </w:r>
      <w:r w:rsidR="004326DC">
        <w:rPr>
          <w:rFonts w:ascii="Cambria Math" w:hAnsi="Cambria Math" w:cs="Cambria Math"/>
        </w:rPr>
        <w:t xml:space="preserve"> </w:t>
      </w:r>
      <w:r w:rsidRPr="006D26CF">
        <w:t>=</w:t>
      </w:r>
      <w:r w:rsidR="004326DC">
        <w:t xml:space="preserve"> </w:t>
      </w:r>
      <w:r w:rsidRPr="006D26CF">
        <w:t>193+38,5+193+10,4</w:t>
      </w:r>
      <w:r w:rsidR="004326DC">
        <w:t xml:space="preserve"> </w:t>
      </w:r>
      <w:r w:rsidRPr="006D26CF">
        <w:t>=</w:t>
      </w:r>
      <w:r w:rsidR="004326DC">
        <w:t xml:space="preserve"> </w:t>
      </w:r>
      <w:r w:rsidRPr="006D26CF">
        <w:t xml:space="preserve">435 </w:t>
      </w:r>
      <w:proofErr w:type="spellStart"/>
      <w:r w:rsidRPr="006D26CF">
        <w:t>kN</w:t>
      </w:r>
      <w:proofErr w:type="spellEnd"/>
      <w:r w:rsidRPr="006D26CF">
        <w:t>/m</w:t>
      </w:r>
    </w:p>
    <w:p w:rsidR="006D26CF" w:rsidRPr="004326DC" w:rsidRDefault="006D26CF" w:rsidP="004326DC">
      <w:pPr>
        <w:rPr>
          <w:b/>
        </w:rPr>
      </w:pPr>
      <w:r w:rsidRPr="004326DC">
        <w:rPr>
          <w:b/>
        </w:rPr>
        <w:t xml:space="preserve">Charges horizontales : </w:t>
      </w:r>
    </w:p>
    <w:p w:rsidR="004326DC" w:rsidRDefault="006D26CF" w:rsidP="004326DC">
      <w:pPr>
        <w:spacing w:after="0"/>
      </w:pPr>
      <w:r w:rsidRPr="006D26CF">
        <w:t>Les charges horizontales mises en évidence dans notre étude</w:t>
      </w:r>
      <w:r w:rsidR="004326DC">
        <w:t xml:space="preserve"> se limitent à celles du vent :</w:t>
      </w:r>
    </w:p>
    <w:p w:rsidR="006D26CF" w:rsidRPr="006D26CF" w:rsidRDefault="006D26CF" w:rsidP="000C7E26">
      <w:pPr>
        <w:shd w:val="clear" w:color="auto" w:fill="ECF5F8"/>
        <w:spacing w:before="0"/>
        <w:jc w:val="center"/>
      </w:pPr>
      <w:r w:rsidRPr="004326DC">
        <w:rPr>
          <w:rStyle w:val="Emphaseple"/>
        </w:rPr>
        <w:t>𝐻</w:t>
      </w:r>
      <w:r w:rsidR="004326DC">
        <w:rPr>
          <w:rFonts w:ascii="Cambria Math" w:hAnsi="Cambria Math" w:cs="Cambria Math"/>
        </w:rPr>
        <w:t xml:space="preserve"> </w:t>
      </w:r>
      <w:r w:rsidRPr="006D26CF">
        <w:t>=</w:t>
      </w:r>
      <w:r w:rsidR="004326DC">
        <w:t xml:space="preserve"> </w:t>
      </w:r>
      <w:r w:rsidRPr="006D26CF">
        <w:t xml:space="preserve">9,6 </w:t>
      </w:r>
      <w:proofErr w:type="spellStart"/>
      <w:r w:rsidRPr="006D26CF">
        <w:t>kN</w:t>
      </w:r>
      <w:proofErr w:type="spellEnd"/>
      <w:r w:rsidRPr="006D26CF">
        <w:t>/m</w:t>
      </w:r>
    </w:p>
    <w:p w:rsidR="00141ABA" w:rsidRDefault="006D26CF" w:rsidP="008520BB">
      <w:r w:rsidRPr="006D26CF">
        <w:t xml:space="preserve">On remarque ainsi que les charges horizontales sont négligeables. Il est cependant nécessaire de considérer les effets </w:t>
      </w:r>
      <w:r w:rsidR="00141ABA">
        <w:t xml:space="preserve">dynamiques </w:t>
      </w:r>
      <w:r w:rsidRPr="006D26CF">
        <w:t>du vent pour ne pas risquer une destruction de l’ouvrage, comme cela s’est</w:t>
      </w:r>
      <w:r w:rsidR="00141ABA">
        <w:t xml:space="preserve"> produit sur le pont de Tacoma.</w:t>
      </w:r>
    </w:p>
    <w:p w:rsidR="006D26CF" w:rsidRDefault="006D26CF" w:rsidP="008520BB">
      <w:r w:rsidRPr="006D26CF">
        <w:t>Ces calculs de charge</w:t>
      </w:r>
      <w:r w:rsidR="008520BB">
        <w:t xml:space="preserve">s </w:t>
      </w:r>
      <w:r w:rsidRPr="006D26CF">
        <w:t xml:space="preserve">permettraient par la suite de dimensionner les nombreux composants du Golden </w:t>
      </w:r>
      <w:proofErr w:type="spellStart"/>
      <w:r w:rsidRPr="006D26CF">
        <w:t>Gate</w:t>
      </w:r>
      <w:proofErr w:type="spellEnd"/>
      <w:r w:rsidRPr="006D26CF">
        <w:t xml:space="preserve"> Bridge</w:t>
      </w:r>
      <w:r w:rsidR="00141ABA">
        <w:t xml:space="preserve"> (câbles, tablier en treillis, piles,…)</w:t>
      </w:r>
      <w:r w:rsidRPr="006D26CF">
        <w:t>.</w:t>
      </w:r>
    </w:p>
    <w:p w:rsidR="006D26CF" w:rsidRDefault="006D26CF" w:rsidP="008520BB">
      <w:pPr>
        <w:pStyle w:val="Titre3"/>
        <w:spacing w:before="240"/>
      </w:pPr>
      <w:r>
        <w:t>Courbe des câbles porteurs</w:t>
      </w:r>
    </w:p>
    <w:p w:rsidR="006D26CF" w:rsidRDefault="006D26CF" w:rsidP="008520BB">
      <w:pPr>
        <w:spacing w:before="120"/>
      </w:pPr>
      <w:r>
        <w:t xml:space="preserve">Pour calculer la courbe réalisée par les câbles porteurs, on néglige le poids du câble porteur vis-à-vis de celui du tablier. On se place dans le cas de la </w:t>
      </w:r>
      <w:r w:rsidR="008520BB">
        <w:t>f</w:t>
      </w:r>
      <w:r>
        <w:t xml:space="preserve">igure </w:t>
      </w:r>
      <w:r w:rsidR="006650FD">
        <w:t>18</w:t>
      </w:r>
      <w:r>
        <w:t xml:space="preserve"> pour réaliser l’équilibre. On isole par conséquent une longueur </w:t>
      </w:r>
      <w:r w:rsidRPr="008520BB">
        <w:rPr>
          <w:rStyle w:val="Emphaseple"/>
        </w:rPr>
        <w:t>Δ𝑥</w:t>
      </w:r>
      <w:r>
        <w:rPr>
          <w:rFonts w:ascii="Cambria Math" w:hAnsi="Cambria Math" w:cs="Cambria Math"/>
        </w:rPr>
        <w:t xml:space="preserve"> </w:t>
      </w:r>
      <w:r>
        <w:t>de câble porteur entre les points P et Q.</w:t>
      </w:r>
    </w:p>
    <w:p w:rsidR="008520BB" w:rsidRDefault="008520BB" w:rsidP="008520BB">
      <w:pPr>
        <w:pStyle w:val="Sansinterligne"/>
      </w:pPr>
      <w:r>
        <w:rPr>
          <w:noProof/>
          <w:lang w:eastAsia="fr-FR"/>
        </w:rPr>
        <w:drawing>
          <wp:inline distT="0" distB="0" distL="0" distR="0">
            <wp:extent cx="3598765" cy="2520461"/>
            <wp:effectExtent l="19050" t="0" r="1685" b="0"/>
            <wp:docPr id="8" name="Image 7" descr="figur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png"/>
                    <pic:cNvPicPr/>
                  </pic:nvPicPr>
                  <pic:blipFill>
                    <a:blip r:embed="rId35" cstate="print"/>
                    <a:stretch>
                      <a:fillRect/>
                    </a:stretch>
                  </pic:blipFill>
                  <pic:spPr>
                    <a:xfrm>
                      <a:off x="0" y="0"/>
                      <a:ext cx="3612623" cy="2530167"/>
                    </a:xfrm>
                    <a:prstGeom prst="rect">
                      <a:avLst/>
                    </a:prstGeom>
                  </pic:spPr>
                </pic:pic>
              </a:graphicData>
            </a:graphic>
          </wp:inline>
        </w:drawing>
      </w:r>
    </w:p>
    <w:p w:rsidR="006D26CF" w:rsidRPr="006D26CF" w:rsidRDefault="006D26CF" w:rsidP="008520BB">
      <w:pPr>
        <w:pStyle w:val="Lgende"/>
      </w:pPr>
      <w:r>
        <w:t xml:space="preserve">Figure </w:t>
      </w:r>
      <w:fldSimple w:instr=" SEQ Figure \* ARABIC ">
        <w:r w:rsidR="00B34EA9">
          <w:rPr>
            <w:noProof/>
          </w:rPr>
          <w:t>18</w:t>
        </w:r>
      </w:fldSimple>
      <w:r>
        <w:t xml:space="preserve"> : Pont suspendu et actions </w:t>
      </w:r>
      <w:r w:rsidRPr="008520BB">
        <w:t>appliquées</w:t>
      </w:r>
      <w:r>
        <w:t xml:space="preserve"> sur une partie de câble porteur</w:t>
      </w:r>
      <w:r w:rsidR="00A465CA">
        <w:t xml:space="preserve">, source </w:t>
      </w:r>
      <w:r>
        <w:t xml:space="preserve"> </w:t>
      </w:r>
      <w:r w:rsidR="00A465CA">
        <w:t>[22]</w:t>
      </w:r>
    </w:p>
    <w:p w:rsidR="006D26CF" w:rsidRPr="006D26CF" w:rsidRDefault="006D26CF" w:rsidP="008520BB">
      <w:r w:rsidRPr="006D26CF">
        <w:t xml:space="preserve">Le système considéré est donc soumis à : </w:t>
      </w:r>
    </w:p>
    <w:p w:rsidR="006D26CF" w:rsidRPr="006D26CF" w:rsidRDefault="006D26CF" w:rsidP="003E4F41">
      <w:pPr>
        <w:pStyle w:val="Paragraphedeliste"/>
        <w:numPr>
          <w:ilvl w:val="0"/>
          <w:numId w:val="19"/>
        </w:numPr>
        <w:spacing w:before="120"/>
        <w:ind w:left="714" w:hanging="357"/>
      </w:pPr>
      <w:r w:rsidRPr="006D26CF">
        <w:t>l’action d</w:t>
      </w:r>
      <w:r w:rsidR="00A465CA">
        <w:t>u poids du tablier sur le câble ;</w:t>
      </w:r>
      <w:r w:rsidRPr="006D26CF">
        <w:t xml:space="preserve"> </w:t>
      </w:r>
    </w:p>
    <w:p w:rsidR="006D26CF" w:rsidRPr="006D26CF" w:rsidRDefault="00141ABA" w:rsidP="00A465CA">
      <w:pPr>
        <w:pStyle w:val="Paragraphedeliste"/>
        <w:numPr>
          <w:ilvl w:val="0"/>
          <w:numId w:val="19"/>
        </w:numPr>
      </w:pPr>
      <w:r>
        <w:t>l’action des parties droite</w:t>
      </w:r>
      <w:r w:rsidR="006D26CF" w:rsidRPr="006D26CF">
        <w:t xml:space="preserve"> et gauche du câble porteur sur la portion considérée. </w:t>
      </w:r>
    </w:p>
    <w:p w:rsidR="00A465CA" w:rsidRDefault="00A465CA" w:rsidP="00A465CA">
      <w:r>
        <w:t>À</w:t>
      </w:r>
      <w:r w:rsidR="006D26CF" w:rsidRPr="006D26CF">
        <w:t xml:space="preserve"> l’équilibre du tronçon, on a :</w:t>
      </w:r>
    </w:p>
    <w:p w:rsidR="00A465CA" w:rsidRPr="00A465CA" w:rsidRDefault="00A465CA" w:rsidP="00A465CA">
      <w:pPr>
        <w:spacing w:before="120"/>
        <w:jc w:val="center"/>
      </w:pPr>
      <w:r>
        <w:rPr>
          <w:rStyle w:val="Emphaseple"/>
        </w:rPr>
        <w:t>-</w:t>
      </w:r>
      <w:r w:rsidR="006D26CF" w:rsidRPr="00A465CA">
        <w:rPr>
          <w:rStyle w:val="Emphaseple"/>
        </w:rPr>
        <w:t>𝑇</w:t>
      </w:r>
      <w:r w:rsidR="006D26CF" w:rsidRPr="00A465CA">
        <w:rPr>
          <w:rStyle w:val="Emphaseple"/>
          <w:vertAlign w:val="subscript"/>
        </w:rPr>
        <w:t>1</w:t>
      </w:r>
      <w:r w:rsidR="006D26CF" w:rsidRPr="00A465CA">
        <w:rPr>
          <w:rStyle w:val="Emphaseple"/>
        </w:rPr>
        <w:t>𝑐𝑜𝑠𝛼</w:t>
      </w:r>
      <w:r w:rsidR="006D26CF" w:rsidRPr="00A465CA">
        <w:rPr>
          <w:rStyle w:val="Emphaseple"/>
          <w:vertAlign w:val="subscript"/>
        </w:rPr>
        <w:t>1</w:t>
      </w:r>
      <w:r w:rsidRPr="00A465CA">
        <w:rPr>
          <w:rStyle w:val="Emphaseple"/>
          <w:vertAlign w:val="subscript"/>
        </w:rPr>
        <w:t xml:space="preserve"> </w:t>
      </w:r>
      <w:r w:rsidR="006D26CF" w:rsidRPr="00A465CA">
        <w:rPr>
          <w:rStyle w:val="Emphaseple"/>
        </w:rPr>
        <w:t>+</w:t>
      </w:r>
      <w:r>
        <w:rPr>
          <w:rStyle w:val="Emphaseple"/>
        </w:rPr>
        <w:t xml:space="preserve"> </w:t>
      </w:r>
      <w:r w:rsidR="006D26CF" w:rsidRPr="00A465CA">
        <w:rPr>
          <w:rStyle w:val="Emphaseple"/>
        </w:rPr>
        <w:t>𝑇</w:t>
      </w:r>
      <w:r w:rsidR="006D26CF" w:rsidRPr="00A465CA">
        <w:rPr>
          <w:rStyle w:val="Emphaseple"/>
          <w:vertAlign w:val="subscript"/>
        </w:rPr>
        <w:t>2</w:t>
      </w:r>
      <w:r w:rsidR="006D26CF" w:rsidRPr="00A465CA">
        <w:rPr>
          <w:rStyle w:val="Emphaseple"/>
        </w:rPr>
        <w:t>𝑐𝑜𝑠𝛼</w:t>
      </w:r>
      <w:r w:rsidR="006D26CF" w:rsidRPr="00A465CA">
        <w:rPr>
          <w:rStyle w:val="Emphaseple"/>
          <w:vertAlign w:val="subscript"/>
        </w:rPr>
        <w:t>2</w:t>
      </w:r>
      <w:r>
        <w:rPr>
          <w:rStyle w:val="Emphaseple"/>
        </w:rPr>
        <w:t xml:space="preserve"> </w:t>
      </w:r>
      <w:r w:rsidRPr="00A465CA">
        <w:rPr>
          <w:rStyle w:val="Emphaseple"/>
        </w:rPr>
        <w:t>=</w:t>
      </w:r>
      <w:r>
        <w:rPr>
          <w:rStyle w:val="Emphaseple"/>
        </w:rPr>
        <w:t xml:space="preserve"> </w:t>
      </w:r>
      <w:r w:rsidRPr="00A465CA">
        <w:rPr>
          <w:rStyle w:val="Emphaseple"/>
        </w:rPr>
        <w:t>0</w:t>
      </w:r>
      <w:r w:rsidRPr="00A465CA">
        <w:tab/>
      </w:r>
      <w:r w:rsidRPr="00A465CA">
        <w:tab/>
        <w:t xml:space="preserve"> (1)</w:t>
      </w:r>
    </w:p>
    <w:p w:rsidR="006D26CF" w:rsidRPr="00A465CA" w:rsidRDefault="00A465CA" w:rsidP="00A465CA">
      <w:pPr>
        <w:spacing w:before="120"/>
        <w:jc w:val="center"/>
        <w:rPr>
          <w:rStyle w:val="Emphaseple"/>
        </w:rPr>
      </w:pPr>
      <w:r>
        <w:rPr>
          <w:rStyle w:val="Emphaseple"/>
        </w:rPr>
        <w:t>-</w:t>
      </w:r>
      <w:r w:rsidR="006D26CF" w:rsidRPr="00A465CA">
        <w:rPr>
          <w:rStyle w:val="Emphaseple"/>
        </w:rPr>
        <w:t>𝑝Δ𝑥</w:t>
      </w:r>
      <w:r>
        <w:rPr>
          <w:rStyle w:val="Emphaseple"/>
        </w:rPr>
        <w:t xml:space="preserve"> - </w:t>
      </w:r>
      <w:r w:rsidR="006D26CF" w:rsidRPr="00A465CA">
        <w:rPr>
          <w:rStyle w:val="Emphaseple"/>
        </w:rPr>
        <w:t>𝑇</w:t>
      </w:r>
      <w:r w:rsidR="006D26CF" w:rsidRPr="00A465CA">
        <w:rPr>
          <w:rStyle w:val="Emphaseple"/>
          <w:vertAlign w:val="subscript"/>
        </w:rPr>
        <w:t>1</w:t>
      </w:r>
      <w:r w:rsidR="006D26CF" w:rsidRPr="00A465CA">
        <w:rPr>
          <w:rStyle w:val="Emphaseple"/>
        </w:rPr>
        <w:t>𝑠𝑖𝑛𝛼</w:t>
      </w:r>
      <w:r w:rsidR="006D26CF" w:rsidRPr="00A465CA">
        <w:rPr>
          <w:rStyle w:val="Emphaseple"/>
          <w:vertAlign w:val="subscript"/>
        </w:rPr>
        <w:t>1</w:t>
      </w:r>
      <w:r>
        <w:rPr>
          <w:rStyle w:val="Emphaseple"/>
        </w:rPr>
        <w:t xml:space="preserve"> </w:t>
      </w:r>
      <w:r w:rsidR="006D26CF" w:rsidRPr="00A465CA">
        <w:rPr>
          <w:rStyle w:val="Emphaseple"/>
        </w:rPr>
        <w:t>+</w:t>
      </w:r>
      <w:r>
        <w:rPr>
          <w:rStyle w:val="Emphaseple"/>
        </w:rPr>
        <w:t xml:space="preserve"> </w:t>
      </w:r>
      <w:r w:rsidR="006D26CF" w:rsidRPr="00A465CA">
        <w:rPr>
          <w:rStyle w:val="Emphaseple"/>
        </w:rPr>
        <w:t>𝑇</w:t>
      </w:r>
      <w:r w:rsidR="006D26CF" w:rsidRPr="00A465CA">
        <w:rPr>
          <w:rStyle w:val="Emphaseple"/>
          <w:vertAlign w:val="subscript"/>
        </w:rPr>
        <w:t>2</w:t>
      </w:r>
      <w:r w:rsidR="006D26CF" w:rsidRPr="00A465CA">
        <w:rPr>
          <w:rStyle w:val="Emphaseple"/>
        </w:rPr>
        <w:t>𝑠𝑖𝑛𝛼</w:t>
      </w:r>
      <w:r w:rsidR="006D26CF" w:rsidRPr="00A465CA">
        <w:rPr>
          <w:rStyle w:val="Emphaseple"/>
          <w:vertAlign w:val="subscript"/>
        </w:rPr>
        <w:t>2</w:t>
      </w:r>
      <w:r>
        <w:rPr>
          <w:rStyle w:val="Emphaseple"/>
        </w:rPr>
        <w:t xml:space="preserve"> </w:t>
      </w:r>
      <w:r w:rsidR="006D26CF" w:rsidRPr="00A465CA">
        <w:rPr>
          <w:rStyle w:val="Emphaseple"/>
        </w:rPr>
        <w:t>=</w:t>
      </w:r>
      <w:r>
        <w:rPr>
          <w:rStyle w:val="Emphaseple"/>
        </w:rPr>
        <w:t xml:space="preserve"> </w:t>
      </w:r>
      <w:r w:rsidR="006D26CF" w:rsidRPr="00A465CA">
        <w:rPr>
          <w:rStyle w:val="Emphaseple"/>
        </w:rPr>
        <w:t>0</w:t>
      </w:r>
      <w:r w:rsidR="006D26CF" w:rsidRPr="00A465CA">
        <w:t xml:space="preserve"> </w:t>
      </w:r>
      <w:r>
        <w:tab/>
      </w:r>
      <w:r>
        <w:tab/>
      </w:r>
      <w:r w:rsidR="006D26CF" w:rsidRPr="00A465CA">
        <w:t>(2)</w:t>
      </w:r>
    </w:p>
    <w:p w:rsidR="00A465CA" w:rsidRDefault="006D26CF" w:rsidP="00A465CA">
      <w:pPr>
        <w:spacing w:after="0"/>
      </w:pPr>
      <w:r w:rsidRPr="006D26CF">
        <w:t>Ainsi, on a :</w:t>
      </w:r>
    </w:p>
    <w:p w:rsidR="006D26CF" w:rsidRPr="006D26CF" w:rsidRDefault="006D26CF" w:rsidP="00A465CA">
      <w:pPr>
        <w:spacing w:before="0"/>
        <w:jc w:val="center"/>
        <w:rPr>
          <w:rFonts w:ascii="Calibri" w:hAnsi="Calibri" w:cs="Calibri"/>
        </w:rPr>
      </w:pPr>
      <w:r w:rsidRPr="00A465CA">
        <w:rPr>
          <w:rStyle w:val="Emphaseple"/>
        </w:rPr>
        <w:t>𝑇</w:t>
      </w:r>
      <w:r w:rsidRPr="00A465CA">
        <w:rPr>
          <w:rStyle w:val="Emphaseple"/>
          <w:vertAlign w:val="subscript"/>
        </w:rPr>
        <w:t>1</w:t>
      </w:r>
      <w:r w:rsidRPr="00A465CA">
        <w:rPr>
          <w:rStyle w:val="Emphaseple"/>
        </w:rPr>
        <w:t>𝑐𝑜𝑠𝛼</w:t>
      </w:r>
      <w:r w:rsidRPr="00A465CA">
        <w:rPr>
          <w:rStyle w:val="Emphaseple"/>
          <w:vertAlign w:val="subscript"/>
        </w:rPr>
        <w:t>1</w:t>
      </w:r>
      <w:r w:rsidR="00A465CA">
        <w:rPr>
          <w:rStyle w:val="Emphaseple"/>
          <w:vertAlign w:val="subscript"/>
        </w:rPr>
        <w:t xml:space="preserve"> </w:t>
      </w:r>
      <w:r w:rsidRPr="00A465CA">
        <w:rPr>
          <w:rStyle w:val="Emphaseple"/>
        </w:rPr>
        <w:t>=</w:t>
      </w:r>
      <w:r w:rsidR="00A465CA" w:rsidRPr="00A465CA">
        <w:rPr>
          <w:rStyle w:val="Emphaseple"/>
        </w:rPr>
        <w:t xml:space="preserve"> </w:t>
      </w:r>
      <w:r w:rsidRPr="00A465CA">
        <w:rPr>
          <w:rStyle w:val="Emphaseple"/>
        </w:rPr>
        <w:t>𝑇</w:t>
      </w:r>
      <w:r w:rsidRPr="00A465CA">
        <w:rPr>
          <w:rStyle w:val="Emphaseple"/>
          <w:vertAlign w:val="subscript"/>
        </w:rPr>
        <w:t>2</w:t>
      </w:r>
      <w:r w:rsidRPr="00A465CA">
        <w:rPr>
          <w:rStyle w:val="Emphaseple"/>
        </w:rPr>
        <w:t>𝑐𝑜𝑠𝛼</w:t>
      </w:r>
      <w:r w:rsidRPr="00A465CA">
        <w:rPr>
          <w:rStyle w:val="Emphaseple"/>
          <w:vertAlign w:val="subscript"/>
        </w:rPr>
        <w:t>2</w:t>
      </w:r>
      <w:r w:rsidRPr="00A465CA">
        <w:t xml:space="preserve"> </w:t>
      </w:r>
      <w:r w:rsidR="00A465CA">
        <w:tab/>
      </w:r>
      <w:r w:rsidR="00A465CA">
        <w:tab/>
      </w:r>
      <w:r w:rsidR="00A465CA">
        <w:tab/>
      </w:r>
      <w:r w:rsidRPr="00A465CA">
        <w:t>(3)</w:t>
      </w:r>
    </w:p>
    <w:p w:rsidR="00A465CA" w:rsidRDefault="006D26CF" w:rsidP="00A465CA">
      <w:r w:rsidRPr="006D26CF">
        <w:t xml:space="preserve">La valeur de la tension projetée sur l’axe </w:t>
      </w:r>
      <m:oMath>
        <m:acc>
          <m:accPr>
            <m:chr m:val="⃗"/>
            <m:ctrlPr>
              <w:rPr>
                <w:rFonts w:ascii="Cambria Math" w:hAnsi="Cambria Math"/>
                <w:i/>
              </w:rPr>
            </m:ctrlPr>
          </m:accPr>
          <m:e>
            <m:r>
              <w:rPr>
                <w:rFonts w:ascii="Cambria Math" w:hAnsi="Cambria Math"/>
              </w:rPr>
              <m:t>x</m:t>
            </m:r>
          </m:e>
        </m:acc>
      </m:oMath>
      <w:r w:rsidR="00A465CA">
        <w:t xml:space="preserve"> </w:t>
      </w:r>
      <w:r w:rsidRPr="006D26CF">
        <w:t xml:space="preserve">est donc la même en tout point du câble et en particulier en l’origine où </w:t>
      </w:r>
      <w:r w:rsidRPr="00A465CA">
        <w:rPr>
          <w:rStyle w:val="Emphaseple"/>
        </w:rPr>
        <w:t>𝛼</w:t>
      </w:r>
      <w:r w:rsidRPr="00A465CA">
        <w:rPr>
          <w:rStyle w:val="Emphaseple"/>
          <w:vertAlign w:val="subscript"/>
        </w:rPr>
        <w:t>1</w:t>
      </w:r>
      <w:r w:rsidR="00A465CA" w:rsidRPr="00A465CA">
        <w:rPr>
          <w:rStyle w:val="Emphaseple"/>
        </w:rPr>
        <w:t xml:space="preserve"> </w:t>
      </w:r>
      <w:r w:rsidRPr="00A465CA">
        <w:rPr>
          <w:rStyle w:val="Emphaseple"/>
        </w:rPr>
        <w:t>=</w:t>
      </w:r>
      <w:r w:rsidR="00A465CA" w:rsidRPr="00A465CA">
        <w:rPr>
          <w:rStyle w:val="Emphaseple"/>
        </w:rPr>
        <w:t xml:space="preserve"> </w:t>
      </w:r>
      <w:r w:rsidRPr="00A465CA">
        <w:rPr>
          <w:rStyle w:val="Emphaseple"/>
        </w:rPr>
        <w:t>𝛼</w:t>
      </w:r>
      <w:r w:rsidRPr="00A465CA">
        <w:rPr>
          <w:rStyle w:val="Emphaseple"/>
          <w:vertAlign w:val="subscript"/>
        </w:rPr>
        <w:t>2</w:t>
      </w:r>
      <w:r w:rsidR="00A465CA" w:rsidRPr="00A465CA">
        <w:rPr>
          <w:rStyle w:val="Emphaseple"/>
        </w:rPr>
        <w:t xml:space="preserve"> </w:t>
      </w:r>
      <w:r w:rsidRPr="00A465CA">
        <w:rPr>
          <w:rStyle w:val="Emphaseple"/>
        </w:rPr>
        <w:t>=</w:t>
      </w:r>
      <w:r w:rsidR="00A465CA" w:rsidRPr="00A465CA">
        <w:rPr>
          <w:rStyle w:val="Emphaseple"/>
        </w:rPr>
        <w:t xml:space="preserve"> </w:t>
      </w:r>
      <w:r w:rsidRPr="00A465CA">
        <w:rPr>
          <w:rStyle w:val="Emphaseple"/>
        </w:rPr>
        <w:t>0</w:t>
      </w:r>
      <w:r w:rsidRPr="006D26CF">
        <w:t>. On obtient donc l’équation</w:t>
      </w:r>
      <w:r w:rsidR="00A465CA">
        <w:t xml:space="preserve"> :</w:t>
      </w:r>
    </w:p>
    <w:p w:rsidR="006D26CF" w:rsidRPr="006D26CF" w:rsidRDefault="006D26CF" w:rsidP="00FD0A5A">
      <w:pPr>
        <w:spacing w:before="120"/>
        <w:jc w:val="center"/>
      </w:pPr>
      <w:r w:rsidRPr="00A465CA">
        <w:rPr>
          <w:rStyle w:val="Emphaseple"/>
        </w:rPr>
        <w:lastRenderedPageBreak/>
        <w:t>𝑇</w:t>
      </w:r>
      <w:r w:rsidRPr="00A465CA">
        <w:rPr>
          <w:rStyle w:val="Emphaseple"/>
          <w:vertAlign w:val="subscript"/>
        </w:rPr>
        <w:t>1</w:t>
      </w:r>
      <w:r w:rsidRPr="00A465CA">
        <w:rPr>
          <w:rStyle w:val="Emphaseple"/>
        </w:rPr>
        <w:t>𝑐𝑜𝑠𝛼</w:t>
      </w:r>
      <w:r w:rsidRPr="00A465CA">
        <w:rPr>
          <w:rStyle w:val="Emphaseple"/>
          <w:vertAlign w:val="subscript"/>
        </w:rPr>
        <w:t>1</w:t>
      </w:r>
      <w:r w:rsidR="00A465CA" w:rsidRPr="00A465CA">
        <w:rPr>
          <w:rStyle w:val="Emphaseple"/>
        </w:rPr>
        <w:t xml:space="preserve"> </w:t>
      </w:r>
      <w:r w:rsidRPr="00A465CA">
        <w:rPr>
          <w:rStyle w:val="Emphaseple"/>
        </w:rPr>
        <w:t>=</w:t>
      </w:r>
      <w:r w:rsidR="00A465CA" w:rsidRPr="00A465CA">
        <w:rPr>
          <w:rStyle w:val="Emphaseple"/>
        </w:rPr>
        <w:t xml:space="preserve"> </w:t>
      </w:r>
      <w:r w:rsidRPr="00A465CA">
        <w:rPr>
          <w:rStyle w:val="Emphaseple"/>
        </w:rPr>
        <w:t>𝑇</w:t>
      </w:r>
      <w:r w:rsidRPr="00FD0A5A">
        <w:rPr>
          <w:rStyle w:val="Emphaseple"/>
          <w:vertAlign w:val="subscript"/>
        </w:rPr>
        <w:t>2</w:t>
      </w:r>
      <w:r w:rsidRPr="00A465CA">
        <w:rPr>
          <w:rStyle w:val="Emphaseple"/>
        </w:rPr>
        <w:t>𝑐𝑜𝑠𝛼</w:t>
      </w:r>
      <w:r w:rsidRPr="00FD0A5A">
        <w:rPr>
          <w:rStyle w:val="Emphaseple"/>
          <w:vertAlign w:val="subscript"/>
        </w:rPr>
        <w:t>2</w:t>
      </w:r>
      <w:r w:rsidR="00A465CA" w:rsidRPr="00A465CA">
        <w:rPr>
          <w:rStyle w:val="Emphaseple"/>
        </w:rPr>
        <w:t xml:space="preserve"> </w:t>
      </w:r>
      <w:r w:rsidRPr="00A465CA">
        <w:rPr>
          <w:rStyle w:val="Emphaseple"/>
        </w:rPr>
        <w:t>=</w:t>
      </w:r>
      <w:r w:rsidR="00A465CA" w:rsidRPr="00A465CA">
        <w:rPr>
          <w:rStyle w:val="Emphaseple"/>
        </w:rPr>
        <w:t xml:space="preserve"> </w:t>
      </w:r>
      <w:r w:rsidRPr="00A465CA">
        <w:rPr>
          <w:rStyle w:val="Emphaseple"/>
        </w:rPr>
        <w:t>𝑇</w:t>
      </w:r>
      <w:r w:rsidRPr="00FD0A5A">
        <w:rPr>
          <w:rStyle w:val="Emphaseple"/>
          <w:vertAlign w:val="subscript"/>
        </w:rPr>
        <w:t>0</w:t>
      </w:r>
      <w:r w:rsidR="00A465CA">
        <w:rPr>
          <w:rFonts w:ascii="Cambria Math" w:hAnsi="Cambria Math" w:cs="Cambria Math"/>
          <w:sz w:val="16"/>
          <w:szCs w:val="16"/>
        </w:rPr>
        <w:tab/>
      </w:r>
      <w:r w:rsidR="00A465CA">
        <w:rPr>
          <w:rFonts w:ascii="Cambria Math" w:hAnsi="Cambria Math" w:cs="Cambria Math"/>
          <w:sz w:val="16"/>
          <w:szCs w:val="16"/>
        </w:rPr>
        <w:tab/>
      </w:r>
      <w:r w:rsidRPr="00A465CA">
        <w:t xml:space="preserve"> (4)</w:t>
      </w:r>
    </w:p>
    <w:p w:rsidR="00FD0A5A" w:rsidRDefault="006D26CF" w:rsidP="00FD0A5A">
      <w:r w:rsidRPr="006D26CF">
        <w:t>En divisant (2) par</w:t>
      </w:r>
      <w:r w:rsidR="00FD0A5A">
        <w:t xml:space="preserve"> </w:t>
      </w:r>
      <w:r w:rsidR="00FD0A5A" w:rsidRPr="00A465CA">
        <w:rPr>
          <w:rStyle w:val="Emphaseple"/>
        </w:rPr>
        <w:t>𝑇</w:t>
      </w:r>
      <w:r w:rsidR="00FD0A5A" w:rsidRPr="00A465CA">
        <w:rPr>
          <w:rStyle w:val="Emphaseple"/>
          <w:vertAlign w:val="subscript"/>
        </w:rPr>
        <w:t>1</w:t>
      </w:r>
      <w:r w:rsidR="00FD0A5A" w:rsidRPr="00A465CA">
        <w:rPr>
          <w:rStyle w:val="Emphaseple"/>
        </w:rPr>
        <w:t>𝑐𝑜𝑠𝛼</w:t>
      </w:r>
      <w:r w:rsidR="00FD0A5A" w:rsidRPr="00A465CA">
        <w:rPr>
          <w:rStyle w:val="Emphaseple"/>
          <w:vertAlign w:val="subscript"/>
        </w:rPr>
        <w:t>1</w:t>
      </w:r>
      <w:r w:rsidR="00FD0A5A">
        <w:t xml:space="preserve">, </w:t>
      </w:r>
      <w:r w:rsidRPr="006D26CF">
        <w:t xml:space="preserve">puis en utilisant </w:t>
      </w:r>
      <w:r w:rsidR="00FD0A5A">
        <w:t xml:space="preserve">(3) et </w:t>
      </w:r>
      <w:r w:rsidRPr="006D26CF">
        <w:t>(4), on obtient :</w:t>
      </w:r>
    </w:p>
    <w:p w:rsidR="006D26CF" w:rsidRPr="006D26CF" w:rsidRDefault="00FD0A5A" w:rsidP="00DF79DB">
      <w:pPr>
        <w:spacing w:before="120" w:after="0"/>
        <w:jc w:val="center"/>
      </w:pPr>
      <m:oMath>
        <m:r>
          <w:rPr>
            <w:rStyle w:val="Emphaseple"/>
          </w:rPr>
          <m:t>tan</m:t>
        </m:r>
        <m:sSub>
          <m:sSubPr>
            <m:ctrlPr>
              <w:rPr>
                <w:rStyle w:val="Emphaseple"/>
              </w:rPr>
            </m:ctrlPr>
          </m:sSubPr>
          <m:e>
            <m:r>
              <w:rPr>
                <w:rStyle w:val="Emphaseple"/>
              </w:rPr>
              <m:t>α</m:t>
            </m:r>
          </m:e>
          <m:sub>
            <m:r>
              <w:rPr>
                <w:rStyle w:val="Emphaseple"/>
              </w:rPr>
              <m:t>2</m:t>
            </m:r>
          </m:sub>
        </m:sSub>
        <m:r>
          <w:rPr>
            <w:rStyle w:val="Emphaseple"/>
          </w:rPr>
          <m:t xml:space="preserve"> - tan</m:t>
        </m:r>
        <m:sSub>
          <m:sSubPr>
            <m:ctrlPr>
              <w:rPr>
                <w:rStyle w:val="Emphaseple"/>
              </w:rPr>
            </m:ctrlPr>
          </m:sSubPr>
          <m:e>
            <m:r>
              <w:rPr>
                <w:rStyle w:val="Emphaseple"/>
              </w:rPr>
              <m:t>α</m:t>
            </m:r>
          </m:e>
          <m:sub>
            <m:r>
              <w:rPr>
                <w:rStyle w:val="Emphaseple"/>
              </w:rPr>
              <m:t>1</m:t>
            </m:r>
          </m:sub>
        </m:sSub>
        <m:r>
          <w:rPr>
            <w:rStyle w:val="Emphaseple"/>
          </w:rPr>
          <m:t xml:space="preserve"> = </m:t>
        </m:r>
        <m:f>
          <m:fPr>
            <m:ctrlPr>
              <w:rPr>
                <w:rStyle w:val="Emphaseple"/>
              </w:rPr>
            </m:ctrlPr>
          </m:fPr>
          <m:num>
            <m:r>
              <w:rPr>
                <w:rStyle w:val="Emphaseple"/>
              </w:rPr>
              <m:t>p</m:t>
            </m:r>
          </m:num>
          <m:den>
            <m:sSub>
              <m:sSubPr>
                <m:ctrlPr>
                  <w:rPr>
                    <w:rStyle w:val="Emphaseple"/>
                  </w:rPr>
                </m:ctrlPr>
              </m:sSubPr>
              <m:e>
                <m:r>
                  <w:rPr>
                    <w:rStyle w:val="Emphaseple"/>
                  </w:rPr>
                  <m:t>T</m:t>
                </m:r>
              </m:e>
              <m:sub>
                <m:r>
                  <w:rPr>
                    <w:rStyle w:val="Emphaseple"/>
                  </w:rPr>
                  <m:t>0</m:t>
                </m:r>
              </m:sub>
            </m:sSub>
          </m:den>
        </m:f>
        <m:r>
          <w:rPr>
            <w:rStyle w:val="Emphaseple"/>
          </w:rPr>
          <m:t>Δx=AΔx</m:t>
        </m:r>
      </m:oMath>
      <w:r w:rsidR="006D26CF" w:rsidRPr="00FD0A5A">
        <w:t xml:space="preserve"> </w:t>
      </w:r>
      <w:r>
        <w:tab/>
      </w:r>
      <w:r w:rsidR="006D26CF" w:rsidRPr="00FD0A5A">
        <w:t>(5)</w:t>
      </w:r>
    </w:p>
    <w:p w:rsidR="006D26CF" w:rsidRPr="006D26CF" w:rsidRDefault="006D26CF" w:rsidP="00DF79DB">
      <w:pPr>
        <w:spacing w:before="0"/>
      </w:pPr>
      <w:proofErr w:type="gramStart"/>
      <w:r w:rsidRPr="006D26CF">
        <w:t>en</w:t>
      </w:r>
      <w:proofErr w:type="gramEnd"/>
      <w:r w:rsidRPr="006D26CF">
        <w:t xml:space="preserve"> posant </w:t>
      </w:r>
      <w:r w:rsidRPr="008A6285">
        <w:rPr>
          <w:rStyle w:val="Emphaseple"/>
        </w:rPr>
        <w:t>𝑝</w:t>
      </w:r>
      <w:r w:rsidR="00FD0A5A" w:rsidRPr="008A6285">
        <w:rPr>
          <w:rStyle w:val="Emphaseple"/>
        </w:rPr>
        <w:t>/</w:t>
      </w:r>
      <w:r w:rsidR="008A6285" w:rsidRPr="008A6285">
        <w:rPr>
          <w:rStyle w:val="Emphaseple"/>
        </w:rPr>
        <w:t xml:space="preserve"> </w:t>
      </w:r>
      <w:r w:rsidRPr="008A6285">
        <w:rPr>
          <w:rStyle w:val="Emphaseple"/>
        </w:rPr>
        <w:t>𝑇</w:t>
      </w:r>
      <w:r w:rsidRPr="008A6285">
        <w:rPr>
          <w:rStyle w:val="Emphaseple"/>
          <w:vertAlign w:val="subscript"/>
        </w:rPr>
        <w:t>0</w:t>
      </w:r>
      <w:r w:rsidR="008A6285">
        <w:rPr>
          <w:rStyle w:val="Emphaseple"/>
          <w:vertAlign w:val="subscript"/>
        </w:rPr>
        <w:t xml:space="preserve"> </w:t>
      </w:r>
      <w:r w:rsidRPr="008A6285">
        <w:rPr>
          <w:rStyle w:val="Emphaseple"/>
        </w:rPr>
        <w:t>=</w:t>
      </w:r>
      <w:r w:rsidR="008A6285">
        <w:rPr>
          <w:rStyle w:val="Emphaseple"/>
        </w:rPr>
        <w:t xml:space="preserve"> </w:t>
      </w:r>
      <w:r w:rsidRPr="008A6285">
        <w:rPr>
          <w:rStyle w:val="Emphaseple"/>
        </w:rPr>
        <w:t>𝐴</w:t>
      </w:r>
      <w:r w:rsidRPr="00FD0A5A">
        <w:t>.</w:t>
      </w:r>
      <w:r w:rsidRPr="006D26CF">
        <w:t xml:space="preserve"> </w:t>
      </w:r>
    </w:p>
    <w:p w:rsidR="008A6285" w:rsidRDefault="006D26CF" w:rsidP="008A6285">
      <w:pPr>
        <w:spacing w:after="0"/>
        <w:rPr>
          <w:rFonts w:ascii="Calibri" w:hAnsi="Calibri" w:cs="Calibri"/>
        </w:rPr>
      </w:pPr>
      <w:r w:rsidRPr="008A6285">
        <w:t>Donc, on a aussi :</w:t>
      </w:r>
    </w:p>
    <w:p w:rsidR="006D26CF" w:rsidRPr="006D26CF" w:rsidRDefault="008104AD" w:rsidP="008A6285">
      <w:pPr>
        <w:spacing w:before="0"/>
        <w:jc w:val="center"/>
        <w:rPr>
          <w:rFonts w:ascii="Calibri" w:hAnsi="Calibri" w:cs="Calibri"/>
        </w:rPr>
      </w:pPr>
      <m:oMath>
        <m:f>
          <m:fPr>
            <m:ctrlPr>
              <w:rPr>
                <w:rStyle w:val="Emphaseple"/>
              </w:rPr>
            </m:ctrlPr>
          </m:fPr>
          <m:num>
            <m:r>
              <w:rPr>
                <w:rStyle w:val="Emphaseple"/>
              </w:rPr>
              <m:t>tan</m:t>
            </m:r>
            <m:sSub>
              <m:sSubPr>
                <m:ctrlPr>
                  <w:rPr>
                    <w:rStyle w:val="Emphaseple"/>
                  </w:rPr>
                </m:ctrlPr>
              </m:sSubPr>
              <m:e>
                <m:r>
                  <w:rPr>
                    <w:rStyle w:val="Emphaseple"/>
                  </w:rPr>
                  <m:t>α</m:t>
                </m:r>
              </m:e>
              <m:sub>
                <m:r>
                  <w:rPr>
                    <w:rStyle w:val="Emphaseple"/>
                  </w:rPr>
                  <m:t>2</m:t>
                </m:r>
              </m:sub>
            </m:sSub>
            <m:r>
              <w:rPr>
                <w:rStyle w:val="Emphaseple"/>
              </w:rPr>
              <m:t xml:space="preserve"> - tan</m:t>
            </m:r>
            <m:sSub>
              <m:sSubPr>
                <m:ctrlPr>
                  <w:rPr>
                    <w:rStyle w:val="Emphaseple"/>
                  </w:rPr>
                </m:ctrlPr>
              </m:sSubPr>
              <m:e>
                <m:r>
                  <w:rPr>
                    <w:rStyle w:val="Emphaseple"/>
                  </w:rPr>
                  <m:t>α</m:t>
                </m:r>
              </m:e>
              <m:sub>
                <m:r>
                  <w:rPr>
                    <w:rStyle w:val="Emphaseple"/>
                  </w:rPr>
                  <m:t>1</m:t>
                </m:r>
              </m:sub>
            </m:sSub>
          </m:num>
          <m:den>
            <m:r>
              <w:rPr>
                <w:rStyle w:val="Emphaseple"/>
              </w:rPr>
              <m:t>∆x</m:t>
            </m:r>
          </m:den>
        </m:f>
        <m:r>
          <w:rPr>
            <w:rStyle w:val="Emphaseple"/>
          </w:rPr>
          <m:t xml:space="preserve"> = A</m:t>
        </m:r>
        <m:r>
          <m:rPr>
            <m:sty m:val="p"/>
          </m:rPr>
          <w:rPr>
            <w:rFonts w:ascii="Cambria Math" w:hAnsi="Cambria Math"/>
          </w:rPr>
          <m:t xml:space="preserve"> </m:t>
        </m:r>
      </m:oMath>
      <w:r w:rsidR="008A6285">
        <w:tab/>
      </w:r>
      <w:r w:rsidR="008A6285">
        <w:tab/>
      </w:r>
      <w:r w:rsidR="008A6285">
        <w:tab/>
      </w:r>
      <w:r w:rsidR="006D26CF" w:rsidRPr="006D26CF">
        <w:t>(6)</w:t>
      </w:r>
    </w:p>
    <w:p w:rsidR="008A6285" w:rsidRDefault="006D26CF" w:rsidP="008A6285">
      <w:r w:rsidRPr="006D26CF">
        <w:t xml:space="preserve">En faisant tendre P vers Q donc </w:t>
      </w:r>
      <w:r w:rsidRPr="008A6285">
        <w:rPr>
          <w:rStyle w:val="Emphaseple"/>
        </w:rPr>
        <w:t>Δ𝑥→0</w:t>
      </w:r>
      <w:r w:rsidRPr="006D26CF">
        <w:rPr>
          <w:rFonts w:ascii="Trebuchet MS" w:hAnsi="Trebuchet MS" w:cs="Trebuchet MS"/>
        </w:rPr>
        <w:t xml:space="preserve"> </w:t>
      </w:r>
      <w:r w:rsidR="008A6285">
        <w:t>dans (6) :</w:t>
      </w:r>
    </w:p>
    <w:p w:rsidR="006D26CF" w:rsidRPr="006D26CF" w:rsidRDefault="008104AD" w:rsidP="008A6285">
      <w:pPr>
        <w:spacing w:before="120"/>
        <w:jc w:val="center"/>
      </w:pPr>
      <m:oMath>
        <m:f>
          <m:fPr>
            <m:ctrlPr>
              <w:rPr>
                <w:rStyle w:val="Emphaseple"/>
              </w:rPr>
            </m:ctrlPr>
          </m:fPr>
          <m:num>
            <m:r>
              <w:rPr>
                <w:rStyle w:val="Emphaseple"/>
              </w:rPr>
              <m:t>dtanα</m:t>
            </m:r>
          </m:num>
          <m:den>
            <m:r>
              <w:rPr>
                <w:rStyle w:val="Emphaseple"/>
              </w:rPr>
              <m:t>dx</m:t>
            </m:r>
          </m:den>
        </m:f>
        <m:r>
          <w:rPr>
            <w:rStyle w:val="Emphaseple"/>
          </w:rPr>
          <m:t xml:space="preserve"> = A</m:t>
        </m:r>
      </m:oMath>
      <w:r w:rsidR="006D26CF" w:rsidRPr="006D26CF">
        <w:t xml:space="preserve"> </w:t>
      </w:r>
      <w:r w:rsidR="008A6285">
        <w:tab/>
      </w:r>
      <w:r w:rsidR="008A6285">
        <w:tab/>
      </w:r>
      <w:r w:rsidR="008A6285">
        <w:tab/>
      </w:r>
      <w:r w:rsidR="006D26CF" w:rsidRPr="006D26CF">
        <w:t>(7)</w:t>
      </w:r>
    </w:p>
    <w:p w:rsidR="008A6285" w:rsidRDefault="006D26CF" w:rsidP="008A6285">
      <w:r w:rsidRPr="006D26CF">
        <w:t>Or, en considérant</w:t>
      </w:r>
      <m:oMath>
        <m:r>
          <w:rPr>
            <w:rFonts w:ascii="Cambria Math" w:hAnsi="Cambria Math"/>
          </w:rPr>
          <m:t xml:space="preserve"> tan α=</m:t>
        </m:r>
        <m:f>
          <m:fPr>
            <m:ctrlPr>
              <w:rPr>
                <w:rFonts w:ascii="Cambria Math" w:hAnsi="Cambria Math"/>
                <w:i/>
              </w:rPr>
            </m:ctrlPr>
          </m:fPr>
          <m:num>
            <m:r>
              <w:rPr>
                <w:rFonts w:ascii="Cambria Math" w:hAnsi="Cambria Math"/>
              </w:rPr>
              <m:t>dy</m:t>
            </m:r>
          </m:num>
          <m:den>
            <m:r>
              <w:rPr>
                <w:rFonts w:ascii="Cambria Math" w:hAnsi="Cambria Math"/>
              </w:rPr>
              <m:t>dx</m:t>
            </m:r>
          </m:den>
        </m:f>
      </m:oMath>
      <w:r w:rsidR="008A6285">
        <w:t xml:space="preserve"> , on obtient :</w:t>
      </w:r>
    </w:p>
    <w:p w:rsidR="006D26CF" w:rsidRPr="006D26CF" w:rsidRDefault="008104AD" w:rsidP="008A6285">
      <w:pPr>
        <w:spacing w:before="120"/>
        <w:jc w:val="center"/>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den>
        </m:f>
        <m:r>
          <w:rPr>
            <w:rFonts w:ascii="Cambria Math" w:hAnsi="Cambria Math"/>
          </w:rPr>
          <m:t>=A</m:t>
        </m:r>
      </m:oMath>
      <w:r w:rsidR="008A6285">
        <w:rPr>
          <w:rFonts w:eastAsiaTheme="minorEastAsia"/>
        </w:rPr>
        <w:tab/>
      </w:r>
      <w:r w:rsidR="008A6285">
        <w:rPr>
          <w:rFonts w:eastAsiaTheme="minorEastAsia"/>
        </w:rPr>
        <w:tab/>
      </w:r>
      <w:r w:rsidR="008A6285">
        <w:rPr>
          <w:rFonts w:eastAsiaTheme="minorEastAsia"/>
        </w:rPr>
        <w:tab/>
      </w:r>
      <w:r w:rsidR="006D26CF" w:rsidRPr="006D26CF">
        <w:t>(8)</w:t>
      </w:r>
    </w:p>
    <w:p w:rsidR="009B34C9" w:rsidRDefault="006D26CF" w:rsidP="009B34C9">
      <w:r w:rsidRPr="006D26CF">
        <w:t xml:space="preserve">En intégrant 2 fois (8) avec comme condition initiale </w:t>
      </w:r>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r>
                      <w:rPr>
                        <w:rFonts w:ascii="Cambria Math" w:hAnsi="Cambria Math"/>
                      </w:rPr>
                      <m:t>dy</m:t>
                    </m:r>
                  </m:num>
                  <m:den>
                    <m:r>
                      <w:rPr>
                        <w:rFonts w:ascii="Cambria Math" w:hAnsi="Cambria Math"/>
                      </w:rPr>
                      <m:t>dx</m:t>
                    </m:r>
                  </m:den>
                </m:f>
              </m:e>
            </m:d>
          </m:e>
          <m:sub>
            <m:r>
              <w:rPr>
                <w:rFonts w:ascii="Cambria Math" w:hAnsi="Cambria Math"/>
              </w:rPr>
              <m:t>x=0</m:t>
            </m:r>
          </m:sub>
        </m:sSub>
        <m:r>
          <w:rPr>
            <w:rFonts w:ascii="Cambria Math" w:hAnsi="Cambria Math"/>
          </w:rPr>
          <m:t>=0</m:t>
        </m:r>
      </m:oMath>
      <w:r w:rsidR="009B34C9">
        <w:rPr>
          <w:rFonts w:eastAsiaTheme="minorEastAsia"/>
        </w:rPr>
        <w:t xml:space="preserve"> </w:t>
      </w:r>
      <w:r w:rsidRPr="006D26CF">
        <w:t xml:space="preserve">et </w:t>
      </w:r>
      <w:proofErr w:type="gramStart"/>
      <w:r w:rsidR="009B34C9" w:rsidRPr="0083695D">
        <w:rPr>
          <w:rStyle w:val="Emphaseple"/>
        </w:rPr>
        <w:t>y</w:t>
      </w:r>
      <w:r w:rsidRPr="0083695D">
        <w:rPr>
          <w:rStyle w:val="Emphaseple"/>
        </w:rPr>
        <w:t>(</w:t>
      </w:r>
      <w:proofErr w:type="gramEnd"/>
      <w:r w:rsidRPr="0083695D">
        <w:rPr>
          <w:rStyle w:val="Emphaseple"/>
        </w:rPr>
        <w:t>𝑥=0)=0</w:t>
      </w:r>
      <w:r w:rsidRPr="006D26CF">
        <w:t>, on a :</w:t>
      </w:r>
    </w:p>
    <w:p w:rsidR="006D26CF" w:rsidRPr="006D26CF" w:rsidRDefault="0083695D" w:rsidP="000C7E26">
      <w:pPr>
        <w:shd w:val="clear" w:color="auto" w:fill="ECF5F8"/>
        <w:spacing w:before="120"/>
        <w:jc w:val="center"/>
        <w:rPr>
          <w:rFonts w:ascii="Calibri" w:hAnsi="Calibri" w:cs="Calibri"/>
        </w:rPr>
      </w:pPr>
      <m:oMath>
        <m:r>
          <w:rPr>
            <w:rStyle w:val="Emphaseple"/>
          </w:rPr>
          <m:t xml:space="preserve">y(x) = </m:t>
        </m:r>
        <m:f>
          <m:fPr>
            <m:ctrlPr>
              <w:rPr>
                <w:rStyle w:val="Emphaseple"/>
              </w:rPr>
            </m:ctrlPr>
          </m:fPr>
          <m:num>
            <m:r>
              <w:rPr>
                <w:rStyle w:val="Emphaseple"/>
              </w:rPr>
              <m:t>1</m:t>
            </m:r>
          </m:num>
          <m:den>
            <m:r>
              <w:rPr>
                <w:rStyle w:val="Emphaseple"/>
              </w:rPr>
              <m:t>2</m:t>
            </m:r>
          </m:den>
        </m:f>
        <m:f>
          <m:fPr>
            <m:ctrlPr>
              <w:rPr>
                <w:rStyle w:val="Emphaseple"/>
              </w:rPr>
            </m:ctrlPr>
          </m:fPr>
          <m:num>
            <m:r>
              <w:rPr>
                <w:rStyle w:val="Emphaseple"/>
              </w:rPr>
              <m:t>p</m:t>
            </m:r>
          </m:num>
          <m:den>
            <m:sSub>
              <m:sSubPr>
                <m:ctrlPr>
                  <w:rPr>
                    <w:rStyle w:val="Emphaseple"/>
                  </w:rPr>
                </m:ctrlPr>
              </m:sSubPr>
              <m:e>
                <m:r>
                  <w:rPr>
                    <w:rStyle w:val="Emphaseple"/>
                  </w:rPr>
                  <m:t>T</m:t>
                </m:r>
              </m:e>
              <m:sub>
                <m:r>
                  <w:rPr>
                    <w:rStyle w:val="Emphaseple"/>
                  </w:rPr>
                  <m:t>0</m:t>
                </m:r>
              </m:sub>
            </m:sSub>
          </m:den>
        </m:f>
        <m:sSup>
          <m:sSupPr>
            <m:ctrlPr>
              <w:rPr>
                <w:rStyle w:val="Emphaseple"/>
              </w:rPr>
            </m:ctrlPr>
          </m:sSupPr>
          <m:e>
            <m:r>
              <w:rPr>
                <w:rStyle w:val="Emphaseple"/>
              </w:rPr>
              <m:t>x</m:t>
            </m:r>
          </m:e>
          <m:sup>
            <m:r>
              <w:rPr>
                <w:rStyle w:val="Emphaseple"/>
              </w:rPr>
              <m:t>2</m:t>
            </m:r>
          </m:sup>
        </m:sSup>
      </m:oMath>
      <w:r w:rsidRPr="006D26CF">
        <w:t xml:space="preserve"> </w:t>
      </w:r>
      <w:r>
        <w:tab/>
      </w:r>
      <w:r>
        <w:tab/>
      </w:r>
      <w:r w:rsidR="006D26CF" w:rsidRPr="006D26CF">
        <w:t>(9)</w:t>
      </w:r>
    </w:p>
    <w:p w:rsidR="008B22D5" w:rsidRDefault="006D26CF" w:rsidP="0083695D">
      <w:r w:rsidRPr="006D26CF">
        <w:t>L’équation du câble porteur est une parabole dont l’équation est donnée en (9).</w:t>
      </w:r>
    </w:p>
    <w:p w:rsidR="006D26CF" w:rsidRDefault="006D26CF" w:rsidP="006D26CF">
      <w:pPr>
        <w:pStyle w:val="Titre1"/>
      </w:pPr>
      <w:r>
        <w:t xml:space="preserve">3 </w:t>
      </w:r>
      <w:r w:rsidR="00757CA1">
        <w:t>–</w:t>
      </w:r>
      <w:r>
        <w:t xml:space="preserve"> </w:t>
      </w:r>
      <w:r w:rsidRPr="006D26CF">
        <w:t>Construire</w:t>
      </w:r>
      <w:r>
        <w:t xml:space="preserve"> le Golden </w:t>
      </w:r>
      <w:proofErr w:type="spellStart"/>
      <w:r>
        <w:t>Gate</w:t>
      </w:r>
      <w:proofErr w:type="spellEnd"/>
      <w:r>
        <w:t xml:space="preserve"> Bridge : pieds de béton, buste d’acier…</w:t>
      </w:r>
    </w:p>
    <w:p w:rsidR="006D26CF" w:rsidRDefault="006D26CF" w:rsidP="00D72CA3">
      <w:pPr>
        <w:pStyle w:val="Titre2"/>
      </w:pPr>
      <w:r>
        <w:t>3.1 - S’ancrer au sol : le béton en service</w:t>
      </w:r>
    </w:p>
    <w:p w:rsidR="006D26CF" w:rsidRDefault="006D26CF" w:rsidP="00742134">
      <w:pPr>
        <w:spacing w:after="0"/>
      </w:pPr>
      <w:r>
        <w:t xml:space="preserve">Le Golden </w:t>
      </w:r>
      <w:proofErr w:type="spellStart"/>
      <w:r>
        <w:t>Gate</w:t>
      </w:r>
      <w:proofErr w:type="spellEnd"/>
      <w:r>
        <w:t xml:space="preserve"> Bridge est un pont </w:t>
      </w:r>
      <w:r w:rsidR="00D72CA3">
        <w:t>enjambant l’eau. L</w:t>
      </w:r>
      <w:r>
        <w:t>e pylône sud se situe à 335 m de la côte de San Francisco</w:t>
      </w:r>
      <w:r w:rsidR="00D72CA3">
        <w:t>,</w:t>
      </w:r>
      <w:r w:rsidR="00D72CA3" w:rsidRPr="00D72CA3">
        <w:t xml:space="preserve"> </w:t>
      </w:r>
      <w:r w:rsidR="00D72CA3">
        <w:t xml:space="preserve">il fallait donc être capable de construire sous l’eau. Les fondations du pylône sud </w:t>
      </w:r>
      <w:r>
        <w:t xml:space="preserve">ont été coulées </w:t>
      </w:r>
      <w:r w:rsidR="00D72CA3">
        <w:t>jusqu’</w:t>
      </w:r>
      <w:r>
        <w:t>à une profondeur de 33 m</w:t>
      </w:r>
      <w:r w:rsidR="00D72CA3">
        <w:t>, dans des eaux tourmentées, froides et boueuses</w:t>
      </w:r>
      <w:r>
        <w:t>. Les plongeurs</w:t>
      </w:r>
      <w:r w:rsidR="00D72CA3">
        <w:t>,</w:t>
      </w:r>
      <w:r>
        <w:t xml:space="preserve"> </w:t>
      </w:r>
      <w:r w:rsidR="00D72CA3">
        <w:t xml:space="preserve">en scaphandrier et sans bouteille (pompage en surface), </w:t>
      </w:r>
      <w:r>
        <w:t>ont utilisé de la dynamite et un système de tuyaux haute pression pour enlever les couches meubles et atteindre le substrat roch</w:t>
      </w:r>
      <w:r w:rsidR="0083695D">
        <w:t>e</w:t>
      </w:r>
      <w:r>
        <w:t>ux. Les coffrages ont ensuite été positionnés et le béton de la ceinture de défense du pylône, coulé à l’aide d’entonnoirs.</w:t>
      </w:r>
    </w:p>
    <w:p w:rsidR="00465E34" w:rsidRDefault="00D72CA3" w:rsidP="00465E34">
      <w:pPr>
        <w:pStyle w:val="Sansinterligne"/>
      </w:pPr>
      <w:r>
        <w:rPr>
          <w:noProof/>
          <w:lang w:eastAsia="fr-FR"/>
        </w:rPr>
        <w:drawing>
          <wp:inline distT="0" distB="0" distL="0" distR="0">
            <wp:extent cx="1193213" cy="2016309"/>
            <wp:effectExtent l="19050" t="0" r="6937" b="0"/>
            <wp:docPr id="60" name="Image 56" descr="http://goldengate.org/exhibits/images/GGB-exhibit3-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ldengate.org/exhibits/images/GGB-exhibit3-1_3-1.jpg"/>
                    <pic:cNvPicPr>
                      <a:picLocks noChangeAspect="1" noChangeArrowheads="1"/>
                    </pic:cNvPicPr>
                  </pic:nvPicPr>
                  <pic:blipFill>
                    <a:blip r:embed="rId36" cstate="print"/>
                    <a:srcRect/>
                    <a:stretch>
                      <a:fillRect/>
                    </a:stretch>
                  </pic:blipFill>
                  <pic:spPr bwMode="auto">
                    <a:xfrm>
                      <a:off x="0" y="0"/>
                      <a:ext cx="1199155" cy="2026351"/>
                    </a:xfrm>
                    <a:prstGeom prst="rect">
                      <a:avLst/>
                    </a:prstGeom>
                    <a:noFill/>
                    <a:ln w="9525">
                      <a:noFill/>
                      <a:miter lim="800000"/>
                      <a:headEnd/>
                      <a:tailEnd/>
                    </a:ln>
                  </pic:spPr>
                </pic:pic>
              </a:graphicData>
            </a:graphic>
          </wp:inline>
        </w:drawing>
      </w:r>
      <w:r w:rsidR="00757CA1">
        <w:tab/>
      </w:r>
      <w:r>
        <w:tab/>
      </w:r>
      <w:r w:rsidR="00465E34">
        <w:rPr>
          <w:noProof/>
          <w:lang w:eastAsia="fr-FR"/>
        </w:rPr>
        <w:drawing>
          <wp:inline distT="0" distB="0" distL="0" distR="0">
            <wp:extent cx="2521047" cy="2016369"/>
            <wp:effectExtent l="19050" t="0" r="0" b="0"/>
            <wp:docPr id="10" name="Image 14" descr="http://goldengate.org/exhibits/images/GGB-exhibit3-1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oldengate.org/exhibits/images/GGB-exhibit3-1_4-4.jpg"/>
                    <pic:cNvPicPr>
                      <a:picLocks noChangeAspect="1" noChangeArrowheads="1"/>
                    </pic:cNvPicPr>
                  </pic:nvPicPr>
                  <pic:blipFill>
                    <a:blip r:embed="rId37" cstate="print"/>
                    <a:srcRect/>
                    <a:stretch>
                      <a:fillRect/>
                    </a:stretch>
                  </pic:blipFill>
                  <pic:spPr bwMode="auto">
                    <a:xfrm>
                      <a:off x="0" y="0"/>
                      <a:ext cx="2521724" cy="2016910"/>
                    </a:xfrm>
                    <a:prstGeom prst="rect">
                      <a:avLst/>
                    </a:prstGeom>
                    <a:noFill/>
                    <a:ln w="9525">
                      <a:noFill/>
                      <a:miter lim="800000"/>
                      <a:headEnd/>
                      <a:tailEnd/>
                    </a:ln>
                  </pic:spPr>
                </pic:pic>
              </a:graphicData>
            </a:graphic>
          </wp:inline>
        </w:drawing>
      </w:r>
    </w:p>
    <w:p w:rsidR="006D26CF" w:rsidRPr="006D26CF" w:rsidRDefault="0083695D" w:rsidP="0083695D">
      <w:pPr>
        <w:pStyle w:val="Lgende"/>
      </w:pPr>
      <w:r>
        <w:t xml:space="preserve">Figure </w:t>
      </w:r>
      <w:fldSimple w:instr=" SEQ Figure \* ARABIC ">
        <w:r w:rsidR="00B34EA9">
          <w:rPr>
            <w:noProof/>
          </w:rPr>
          <w:t>19</w:t>
        </w:r>
      </w:fldSimple>
      <w:r>
        <w:t xml:space="preserve"> : </w:t>
      </w:r>
      <w:r w:rsidR="00D72CA3">
        <w:t>Plongeur en scaphandrier avec tuyau pour l’air, et c</w:t>
      </w:r>
      <w:r w:rsidR="006D26CF">
        <w:t>oupe transversale de la ceinture de protection et de la fondation du pylône sud</w:t>
      </w:r>
      <w:r w:rsidR="00465E34">
        <w:rPr>
          <w:rStyle w:val="Appelnotedebasdep"/>
        </w:rPr>
        <w:footnoteReference w:id="1"/>
      </w:r>
      <w:r>
        <w:t>, source [</w:t>
      </w:r>
      <w:r w:rsidR="005F0E1B">
        <w:t>1</w:t>
      </w:r>
      <w:r w:rsidR="006F6BEF">
        <w:t>8</w:t>
      </w:r>
      <w:r>
        <w:t>]</w:t>
      </w:r>
      <w:r w:rsidR="00D72CA3">
        <w:t xml:space="preserve"> sous l’autorisation de la SFHS collection Huggins</w:t>
      </w:r>
    </w:p>
    <w:p w:rsidR="008B22D5" w:rsidRDefault="006D26CF" w:rsidP="00465E34">
      <w:r w:rsidRPr="006D26CF">
        <w:lastRenderedPageBreak/>
        <w:t xml:space="preserve">Ces tubes de béton, joignant le fond à la surface de l’eau, ont ensuite été vidés de l’eau présente et remplis de béton armé pour accueillir les piles métalliques. Pour construire les socles puis les pylônes, une passerelle flottante d’accès a été mise en place : celle-ci a été détruite </w:t>
      </w:r>
      <w:r w:rsidR="00465E34">
        <w:t>deux</w:t>
      </w:r>
      <w:r w:rsidRPr="006D26CF">
        <w:t xml:space="preserve"> fois durant le chantier (à cause d’une tempête et d’un bateau qui naviguait dans le brouillard). Au total, 300 000 m</w:t>
      </w:r>
      <w:r w:rsidRPr="00465E34">
        <w:rPr>
          <w:vertAlign w:val="superscript"/>
        </w:rPr>
        <w:t>3</w:t>
      </w:r>
      <w:r w:rsidRPr="006D26CF">
        <w:rPr>
          <w:sz w:val="14"/>
          <w:szCs w:val="14"/>
        </w:rPr>
        <w:t xml:space="preserve"> </w:t>
      </w:r>
      <w:r w:rsidRPr="006D26CF">
        <w:t xml:space="preserve">de béton ont été nécessaires à la construction du Golden </w:t>
      </w:r>
      <w:proofErr w:type="spellStart"/>
      <w:r w:rsidRPr="006D26CF">
        <w:t>Gate</w:t>
      </w:r>
      <w:proofErr w:type="spellEnd"/>
      <w:r w:rsidRPr="006D26CF">
        <w:t xml:space="preserve"> Bridge</w:t>
      </w:r>
      <w:r w:rsidR="00465E34">
        <w:t>.</w:t>
      </w:r>
      <w:r w:rsidRPr="006D26CF">
        <w:t xml:space="preserve"> Les socles en béton sont les fondations du Golden </w:t>
      </w:r>
      <w:proofErr w:type="spellStart"/>
      <w:r w:rsidRPr="006D26CF">
        <w:t>Gate</w:t>
      </w:r>
      <w:proofErr w:type="spellEnd"/>
      <w:r w:rsidRPr="006D26CF">
        <w:t xml:space="preserve"> Bridge : ils doivent par conséquent, être capables de reprendre les charges pour les transmettre au sol.</w:t>
      </w:r>
    </w:p>
    <w:p w:rsidR="008B22D5" w:rsidRDefault="0084286A" w:rsidP="00274484">
      <w:pPr>
        <w:pStyle w:val="Titre2"/>
        <w:spacing w:before="240"/>
      </w:pPr>
      <w:r>
        <w:t>3.2 - Tirer des câbles malgré l’eau</w:t>
      </w:r>
    </w:p>
    <w:p w:rsidR="0084286A" w:rsidRDefault="0084286A" w:rsidP="00274484">
      <w:pPr>
        <w:spacing w:before="120"/>
      </w:pPr>
      <w:r w:rsidRPr="0084286A">
        <w:t>Une fois les pylônes</w:t>
      </w:r>
      <w:r w:rsidR="00EA2620">
        <w:t xml:space="preserve"> érigés,</w:t>
      </w:r>
      <w:r w:rsidRPr="0084286A">
        <w:t xml:space="preserve"> les plus hauts du monde en 1937 avec une hauteur maximale de 227</w:t>
      </w:r>
      <w:r w:rsidR="00465E34">
        <w:t> </w:t>
      </w:r>
      <w:r w:rsidRPr="0084286A">
        <w:t xml:space="preserve">m, il fallait installer les deux câbles porteurs. Ces derniers mesurent un mètre de diamètre et pèsent plus de 12 000 tonnes : il était impossible de les transporter par voie maritime. Ils ont donc été fabriqués sur place à l’aide d’un protocole mis au point par John A. </w:t>
      </w:r>
      <w:proofErr w:type="spellStart"/>
      <w:r w:rsidRPr="0084286A">
        <w:t>Roebling</w:t>
      </w:r>
      <w:proofErr w:type="spellEnd"/>
      <w:r w:rsidRPr="0084286A">
        <w:t xml:space="preserve"> au XIX</w:t>
      </w:r>
      <w:r w:rsidRPr="00465E34">
        <w:rPr>
          <w:sz w:val="14"/>
          <w:szCs w:val="14"/>
          <w:vertAlign w:val="superscript"/>
        </w:rPr>
        <w:t>e</w:t>
      </w:r>
      <w:r w:rsidRPr="0084286A">
        <w:rPr>
          <w:sz w:val="14"/>
          <w:szCs w:val="14"/>
        </w:rPr>
        <w:t xml:space="preserve"> </w:t>
      </w:r>
      <w:r w:rsidR="00274484">
        <w:t>siècle.</w:t>
      </w:r>
    </w:p>
    <w:p w:rsidR="0084286A" w:rsidRDefault="00274484" w:rsidP="00274484">
      <w:pPr>
        <w:spacing w:before="120"/>
      </w:pPr>
      <w:r>
        <w:t xml:space="preserve">Pour réaliser les câbles, un fil d’acier (d’environ 1 cm de diamètre) a été tiré, </w:t>
      </w:r>
      <w:r w:rsidRPr="0084286A">
        <w:t>d’une rive à l’autre</w:t>
      </w:r>
      <w:r>
        <w:t>, en passant par le haut des deux pylônes. Ce fil tiré a été renvoyé sur l’autre rive, puis à nouveau renvoyé...</w:t>
      </w:r>
      <w:r>
        <w:rPr>
          <w:rStyle w:val="lev"/>
        </w:rPr>
        <w:t xml:space="preserve"> </w:t>
      </w:r>
      <w:r w:rsidRPr="0084286A">
        <w:t xml:space="preserve">La réalisation des câbles s’est faite </w:t>
      </w:r>
      <w:r>
        <w:t>avec</w:t>
      </w:r>
      <w:r w:rsidRPr="0084286A">
        <w:t xml:space="preserve"> 27 572 fils d’aciers. </w:t>
      </w:r>
      <w:r>
        <w:t>Les fils ont ensuite été regroupés en torons plus gros et compactés pour former le câble final (figure 2</w:t>
      </w:r>
      <w:r w:rsidR="006650FD">
        <w:t>0</w:t>
      </w:r>
      <w:r>
        <w:t xml:space="preserve">). </w:t>
      </w:r>
      <w:r w:rsidR="0084286A" w:rsidRPr="0084286A">
        <w:t xml:space="preserve">Il a finalement fallu un peu plus de </w:t>
      </w:r>
      <w:r w:rsidR="00465E34">
        <w:t>six</w:t>
      </w:r>
      <w:r w:rsidR="0084286A" w:rsidRPr="0084286A">
        <w:t xml:space="preserve"> mois pour fabriquer et installer les deux câbles indispensables pour suspendre le tablier du Golden </w:t>
      </w:r>
      <w:proofErr w:type="spellStart"/>
      <w:r w:rsidR="0084286A" w:rsidRPr="0084286A">
        <w:t>Gate</w:t>
      </w:r>
      <w:proofErr w:type="spellEnd"/>
      <w:r w:rsidR="0084286A" w:rsidRPr="0084286A">
        <w:t xml:space="preserve"> Bridge</w:t>
      </w:r>
      <w:r w:rsidR="00465E34">
        <w:t>.</w:t>
      </w:r>
    </w:p>
    <w:p w:rsidR="0084286A" w:rsidRDefault="00274484" w:rsidP="0084286A">
      <w:pPr>
        <w:pStyle w:val="Sansinterligne"/>
      </w:pPr>
      <w:r>
        <w:rPr>
          <w:noProof/>
          <w:lang w:eastAsia="fr-FR"/>
        </w:rPr>
        <w:drawing>
          <wp:inline distT="0" distB="0" distL="0" distR="0">
            <wp:extent cx="3349792" cy="2737530"/>
            <wp:effectExtent l="19050" t="0" r="3008" b="0"/>
            <wp:docPr id="12" name="Image 20" descr="http://goldengate.org/exhibits/images/GGB-exhibit3-1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oldengate.org/exhibits/images/GGB-exhibit3-1_6-2.jpg"/>
                    <pic:cNvPicPr>
                      <a:picLocks noChangeAspect="1" noChangeArrowheads="1"/>
                    </pic:cNvPicPr>
                  </pic:nvPicPr>
                  <pic:blipFill>
                    <a:blip r:embed="rId38" cstate="print"/>
                    <a:srcRect/>
                    <a:stretch>
                      <a:fillRect/>
                    </a:stretch>
                  </pic:blipFill>
                  <pic:spPr bwMode="auto">
                    <a:xfrm>
                      <a:off x="0" y="0"/>
                      <a:ext cx="3353791" cy="2740798"/>
                    </a:xfrm>
                    <a:prstGeom prst="rect">
                      <a:avLst/>
                    </a:prstGeom>
                    <a:noFill/>
                    <a:ln w="9525">
                      <a:noFill/>
                      <a:miter lim="800000"/>
                      <a:headEnd/>
                      <a:tailEnd/>
                    </a:ln>
                  </pic:spPr>
                </pic:pic>
              </a:graphicData>
            </a:graphic>
          </wp:inline>
        </w:drawing>
      </w:r>
      <w:r w:rsidR="00C71D76">
        <w:tab/>
      </w:r>
      <w:r w:rsidR="00C71D76">
        <w:tab/>
      </w:r>
      <w:r w:rsidR="0025292B">
        <w:rPr>
          <w:noProof/>
          <w:lang w:eastAsia="fr-FR"/>
        </w:rPr>
        <w:drawing>
          <wp:inline distT="0" distB="0" distL="0" distR="0">
            <wp:extent cx="1971983" cy="2737271"/>
            <wp:effectExtent l="19050" t="0" r="9217" b="0"/>
            <wp:docPr id="11" name="Image 17" descr="http://goldengate.org/exhibits/images/GGB-exhibit3-1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ldengate.org/exhibits/images/GGB-exhibit3-1_6-3.jpg"/>
                    <pic:cNvPicPr>
                      <a:picLocks noChangeAspect="1" noChangeArrowheads="1"/>
                    </pic:cNvPicPr>
                  </pic:nvPicPr>
                  <pic:blipFill>
                    <a:blip r:embed="rId39" cstate="print"/>
                    <a:srcRect/>
                    <a:stretch>
                      <a:fillRect/>
                    </a:stretch>
                  </pic:blipFill>
                  <pic:spPr bwMode="auto">
                    <a:xfrm>
                      <a:off x="0" y="0"/>
                      <a:ext cx="1989157" cy="2761110"/>
                    </a:xfrm>
                    <a:prstGeom prst="rect">
                      <a:avLst/>
                    </a:prstGeom>
                    <a:noFill/>
                    <a:ln w="9525">
                      <a:noFill/>
                      <a:miter lim="800000"/>
                      <a:headEnd/>
                      <a:tailEnd/>
                    </a:ln>
                  </pic:spPr>
                </pic:pic>
              </a:graphicData>
            </a:graphic>
          </wp:inline>
        </w:drawing>
      </w:r>
    </w:p>
    <w:p w:rsidR="0084286A" w:rsidRDefault="00465E34" w:rsidP="00465E34">
      <w:pPr>
        <w:pStyle w:val="Lgende"/>
      </w:pPr>
      <w:r>
        <w:t xml:space="preserve">Figure </w:t>
      </w:r>
      <w:fldSimple w:instr=" SEQ Figure \* ARABIC ">
        <w:r w:rsidR="00B34EA9">
          <w:rPr>
            <w:noProof/>
          </w:rPr>
          <w:t>20</w:t>
        </w:r>
      </w:fldSimple>
      <w:r>
        <w:t xml:space="preserve"> </w:t>
      </w:r>
      <w:r w:rsidR="0084286A">
        <w:t xml:space="preserve">: </w:t>
      </w:r>
      <w:r w:rsidR="00274484">
        <w:t>Regroupement des fils en torons et u</w:t>
      </w:r>
      <w:r w:rsidR="0084286A">
        <w:t xml:space="preserve">tilisation d’une presse </w:t>
      </w:r>
      <w:r w:rsidR="0084286A" w:rsidRPr="00465E34">
        <w:t>hydraulique</w:t>
      </w:r>
      <w:r w:rsidR="0084286A">
        <w:t xml:space="preserve"> pour compacter les fils d’acier et ne former qu’un câble porteur</w:t>
      </w:r>
      <w:r w:rsidR="0025292B">
        <w:t>, source [1</w:t>
      </w:r>
      <w:r w:rsidR="006F6BEF">
        <w:t>8</w:t>
      </w:r>
      <w:r w:rsidR="0025292B">
        <w:t xml:space="preserve">] sous l’autorisation de la San Francisco </w:t>
      </w:r>
      <w:proofErr w:type="spellStart"/>
      <w:r w:rsidR="0025292B">
        <w:t>Historical</w:t>
      </w:r>
      <w:proofErr w:type="spellEnd"/>
      <w:r w:rsidR="0025292B">
        <w:t xml:space="preserve"> Society, </w:t>
      </w:r>
      <w:r w:rsidR="00274484">
        <w:t xml:space="preserve">Collection Huggins et </w:t>
      </w:r>
      <w:r w:rsidR="0025292B">
        <w:t>S</w:t>
      </w:r>
      <w:r w:rsidR="00274484">
        <w:t xml:space="preserve">an </w:t>
      </w:r>
      <w:proofErr w:type="spellStart"/>
      <w:r w:rsidR="0025292B">
        <w:t>F</w:t>
      </w:r>
      <w:r w:rsidR="00274484">
        <w:t>rancsisco</w:t>
      </w:r>
      <w:proofErr w:type="spellEnd"/>
      <w:r w:rsidR="0025292B">
        <w:t xml:space="preserve"> Public Library</w:t>
      </w:r>
    </w:p>
    <w:p w:rsidR="0084286A" w:rsidRDefault="0084286A" w:rsidP="001633A1">
      <w:pPr>
        <w:pStyle w:val="Titre2"/>
      </w:pPr>
      <w:r>
        <w:t>3.3 - Suspendre le tablier</w:t>
      </w:r>
    </w:p>
    <w:p w:rsidR="0084286A" w:rsidRDefault="0084286A" w:rsidP="00274484">
      <w:pPr>
        <w:spacing w:before="120"/>
      </w:pPr>
      <w:r>
        <w:t>Tous les 15 mètres, des suspentes (au total 250 paires) ont été installées le long des câbles porteurs pour venir suspendre le tablier. Celui-ci se compose de poutres en treillis en acier qui soutiennent les poutres transversales supportant la chaussée et donnent aussi une rigidité au tablier vis-à-vis, par exemple, de l’action du vent. Les ponts suspendus présentent un grand avantage en phase de construction : ne pas nécessiter de support temporaire. On part en effet d’un pylône puis, de part et d’autre, on fixe les sections de tablier aux suspentes tout en maintenant l’équilibre. Les sections du tablier sont directement amenées sur l’eau, à l’aide de barges.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1"/>
        <w:gridCol w:w="5318"/>
      </w:tblGrid>
      <w:tr w:rsidR="00F268BD" w:rsidTr="00F268BD">
        <w:tc>
          <w:tcPr>
            <w:tcW w:w="4571" w:type="dxa"/>
          </w:tcPr>
          <w:p w:rsidR="00F268BD" w:rsidRDefault="00F268BD" w:rsidP="00F268BD">
            <w:pPr>
              <w:spacing w:before="0" w:after="60"/>
            </w:pPr>
            <w:r>
              <w:rPr>
                <w:noProof/>
                <w:lang w:eastAsia="fr-FR"/>
              </w:rPr>
              <w:lastRenderedPageBreak/>
              <w:drawing>
                <wp:inline distT="0" distB="0" distL="0" distR="0">
                  <wp:extent cx="2590800" cy="2053388"/>
                  <wp:effectExtent l="19050" t="0" r="0" b="0"/>
                  <wp:docPr id="38" name="Image 23" descr="http://goldengate.org/exhibits/images/GGB-exhibit3-1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oldengate.org/exhibits/images/GGB-exhibit3-1_7-1.jpg"/>
                          <pic:cNvPicPr>
                            <a:picLocks noChangeAspect="1" noChangeArrowheads="1"/>
                          </pic:cNvPicPr>
                        </pic:nvPicPr>
                        <pic:blipFill>
                          <a:blip r:embed="rId40" cstate="print"/>
                          <a:srcRect/>
                          <a:stretch>
                            <a:fillRect/>
                          </a:stretch>
                        </pic:blipFill>
                        <pic:spPr bwMode="auto">
                          <a:xfrm>
                            <a:off x="0" y="0"/>
                            <a:ext cx="2595847" cy="2057388"/>
                          </a:xfrm>
                          <a:prstGeom prst="rect">
                            <a:avLst/>
                          </a:prstGeom>
                          <a:noFill/>
                          <a:ln w="9525">
                            <a:noFill/>
                            <a:miter lim="800000"/>
                            <a:headEnd/>
                            <a:tailEnd/>
                          </a:ln>
                        </pic:spPr>
                      </pic:pic>
                    </a:graphicData>
                  </a:graphic>
                </wp:inline>
              </w:drawing>
            </w:r>
          </w:p>
          <w:p w:rsidR="00F268BD" w:rsidRDefault="00F268BD" w:rsidP="00F268BD">
            <w:pPr>
              <w:spacing w:before="120" w:after="60"/>
            </w:pPr>
            <w:r>
              <w:rPr>
                <w:noProof/>
                <w:lang w:eastAsia="fr-FR"/>
              </w:rPr>
              <w:drawing>
                <wp:inline distT="0" distB="0" distL="0" distR="0">
                  <wp:extent cx="2586990" cy="1815006"/>
                  <wp:effectExtent l="19050" t="0" r="3810" b="0"/>
                  <wp:docPr id="39" name="Image 29" descr="http://goldengate.org/exhibits/images/GGB-exhibit3-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oldengate.org/exhibits/images/GGB-exhibit3-1_7-5.jpg"/>
                          <pic:cNvPicPr>
                            <a:picLocks noChangeAspect="1" noChangeArrowheads="1"/>
                          </pic:cNvPicPr>
                        </pic:nvPicPr>
                        <pic:blipFill>
                          <a:blip r:embed="rId41" cstate="print"/>
                          <a:srcRect/>
                          <a:stretch>
                            <a:fillRect/>
                          </a:stretch>
                        </pic:blipFill>
                        <pic:spPr bwMode="auto">
                          <a:xfrm>
                            <a:off x="0" y="0"/>
                            <a:ext cx="2592511" cy="1818879"/>
                          </a:xfrm>
                          <a:prstGeom prst="rect">
                            <a:avLst/>
                          </a:prstGeom>
                          <a:noFill/>
                          <a:ln w="9525">
                            <a:noFill/>
                            <a:miter lim="800000"/>
                            <a:headEnd/>
                            <a:tailEnd/>
                          </a:ln>
                        </pic:spPr>
                      </pic:pic>
                    </a:graphicData>
                  </a:graphic>
                </wp:inline>
              </w:drawing>
            </w:r>
          </w:p>
        </w:tc>
        <w:tc>
          <w:tcPr>
            <w:tcW w:w="5318" w:type="dxa"/>
          </w:tcPr>
          <w:p w:rsidR="00F268BD" w:rsidRDefault="00F268BD" w:rsidP="00F268BD">
            <w:pPr>
              <w:spacing w:before="0" w:after="60"/>
            </w:pPr>
            <w:r>
              <w:rPr>
                <w:noProof/>
                <w:lang w:eastAsia="fr-FR"/>
              </w:rPr>
              <w:drawing>
                <wp:inline distT="0" distB="0" distL="0" distR="0">
                  <wp:extent cx="3168836" cy="3939540"/>
                  <wp:effectExtent l="19050" t="0" r="0" b="0"/>
                  <wp:docPr id="37" name="Image 26" descr="http://goldengate.org/exhibits/images/GGB-exhibit3-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oldengate.org/exhibits/images/GGB-exhibit3-1_7-2.jpg"/>
                          <pic:cNvPicPr>
                            <a:picLocks noChangeAspect="1" noChangeArrowheads="1"/>
                          </pic:cNvPicPr>
                        </pic:nvPicPr>
                        <pic:blipFill>
                          <a:blip r:embed="rId42" cstate="print"/>
                          <a:srcRect/>
                          <a:stretch>
                            <a:fillRect/>
                          </a:stretch>
                        </pic:blipFill>
                        <pic:spPr bwMode="auto">
                          <a:xfrm>
                            <a:off x="0" y="0"/>
                            <a:ext cx="3173263" cy="3945044"/>
                          </a:xfrm>
                          <a:prstGeom prst="rect">
                            <a:avLst/>
                          </a:prstGeom>
                          <a:noFill/>
                          <a:ln w="9525">
                            <a:noFill/>
                            <a:miter lim="800000"/>
                            <a:headEnd/>
                            <a:tailEnd/>
                          </a:ln>
                        </pic:spPr>
                      </pic:pic>
                    </a:graphicData>
                  </a:graphic>
                </wp:inline>
              </w:drawing>
            </w:r>
          </w:p>
        </w:tc>
      </w:tr>
    </w:tbl>
    <w:p w:rsidR="0084286A" w:rsidRPr="0084286A" w:rsidRDefault="00274484" w:rsidP="00274484">
      <w:pPr>
        <w:pStyle w:val="Lgende"/>
      </w:pPr>
      <w:r>
        <w:t xml:space="preserve">Figure </w:t>
      </w:r>
      <w:fldSimple w:instr=" SEQ Figure \* ARABIC ">
        <w:r w:rsidR="00B34EA9">
          <w:rPr>
            <w:noProof/>
          </w:rPr>
          <w:t>21</w:t>
        </w:r>
      </w:fldSimple>
      <w:r>
        <w:t xml:space="preserve"> : </w:t>
      </w:r>
      <w:r w:rsidR="0084286A">
        <w:t xml:space="preserve">Golden </w:t>
      </w:r>
      <w:proofErr w:type="spellStart"/>
      <w:r w:rsidR="0084286A">
        <w:t>Gate</w:t>
      </w:r>
      <w:proofErr w:type="spellEnd"/>
      <w:r w:rsidR="0084286A">
        <w:t xml:space="preserve"> Bridge en phase de construction. </w:t>
      </w:r>
      <w:r w:rsidR="005A2C09">
        <w:t>Les s</w:t>
      </w:r>
      <w:r w:rsidR="00F268BD">
        <w:t>u</w:t>
      </w:r>
      <w:r w:rsidR="005A2C09">
        <w:t>s</w:t>
      </w:r>
      <w:r w:rsidR="00F268BD">
        <w:t>pentes passent sur les colliers rainurées serrés sur les câbles porteurs</w:t>
      </w:r>
      <w:r>
        <w:t xml:space="preserve">, </w:t>
      </w:r>
      <w:r w:rsidR="0026592A">
        <w:t>f</w:t>
      </w:r>
      <w:r w:rsidR="00F268BD">
        <w:t xml:space="preserve">ilet de sécurité temporaire sous le tablier, </w:t>
      </w:r>
      <w:r>
        <w:t>source</w:t>
      </w:r>
      <w:r w:rsidR="00F268BD">
        <w:t> </w:t>
      </w:r>
      <w:r>
        <w:t>[1</w:t>
      </w:r>
      <w:r w:rsidR="006F6BEF">
        <w:t>8</w:t>
      </w:r>
      <w:r>
        <w:t>]</w:t>
      </w:r>
      <w:r w:rsidR="00F268BD">
        <w:t xml:space="preserve"> sous l’autorisation de GGBHTD et Bancroft Library </w:t>
      </w:r>
      <w:proofErr w:type="spellStart"/>
      <w:r w:rsidR="00F268BD">
        <w:t>Univers</w:t>
      </w:r>
      <w:r w:rsidR="004B2264">
        <w:t>i</w:t>
      </w:r>
      <w:r w:rsidR="00F268BD">
        <w:t>ty</w:t>
      </w:r>
      <w:proofErr w:type="spellEnd"/>
      <w:r w:rsidR="00F268BD">
        <w:t xml:space="preserve"> of </w:t>
      </w:r>
      <w:proofErr w:type="spellStart"/>
      <w:r w:rsidR="00F268BD">
        <w:t>California</w:t>
      </w:r>
      <w:proofErr w:type="spellEnd"/>
      <w:r w:rsidR="00F268BD">
        <w:t xml:space="preserve"> Berkeley</w:t>
      </w:r>
    </w:p>
    <w:p w:rsidR="0084286A" w:rsidRDefault="0084286A" w:rsidP="001633A1">
      <w:pPr>
        <w:pStyle w:val="Titre2"/>
      </w:pPr>
      <w:r>
        <w:t>3.4 - La sécur</w:t>
      </w:r>
      <w:r w:rsidRPr="001633A1">
        <w:t>i</w:t>
      </w:r>
      <w:r>
        <w:t>té sur le chantier : un nouvel enjeu</w:t>
      </w:r>
    </w:p>
    <w:p w:rsidR="0084286A" w:rsidRDefault="00160F69" w:rsidP="00160F69">
      <w:pPr>
        <w:jc w:val="center"/>
      </w:pPr>
      <w:r>
        <w:rPr>
          <w:noProof/>
          <w:lang w:eastAsia="fr-FR"/>
        </w:rPr>
        <w:drawing>
          <wp:inline distT="0" distB="0" distL="0" distR="0">
            <wp:extent cx="2715260" cy="2079579"/>
            <wp:effectExtent l="19050" t="0" r="8890" b="0"/>
            <wp:docPr id="45" name="Image 32" descr="http://goldengate.org/exhibits/images/GGB-exhibit3-1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oldengate.org/exhibits/images/GGB-exhibit3-1_8-5.jpg"/>
                    <pic:cNvPicPr>
                      <a:picLocks noChangeAspect="1" noChangeArrowheads="1"/>
                    </pic:cNvPicPr>
                  </pic:nvPicPr>
                  <pic:blipFill>
                    <a:blip r:embed="rId43" cstate="print"/>
                    <a:srcRect/>
                    <a:stretch>
                      <a:fillRect/>
                    </a:stretch>
                  </pic:blipFill>
                  <pic:spPr bwMode="auto">
                    <a:xfrm>
                      <a:off x="0" y="0"/>
                      <a:ext cx="2721607" cy="2084440"/>
                    </a:xfrm>
                    <a:prstGeom prst="rect">
                      <a:avLst/>
                    </a:prstGeom>
                    <a:noFill/>
                    <a:ln w="9525">
                      <a:noFill/>
                      <a:miter lim="800000"/>
                      <a:headEnd/>
                      <a:tailEnd/>
                    </a:ln>
                  </pic:spPr>
                </pic:pic>
              </a:graphicData>
            </a:graphic>
          </wp:inline>
        </w:drawing>
      </w:r>
      <w:r>
        <w:rPr>
          <w:noProof/>
          <w:lang w:eastAsia="fr-FR"/>
        </w:rPr>
        <w:drawing>
          <wp:inline distT="0" distB="0" distL="0" distR="0">
            <wp:extent cx="1681851" cy="2080260"/>
            <wp:effectExtent l="19050" t="0" r="0" b="0"/>
            <wp:docPr id="51" name="Image 35" descr="http://goldengate.org/exhibits/images/GGB-exhibit3-1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oldengate.org/exhibits/images/GGB-exhibit3-1_8-3.jpg"/>
                    <pic:cNvPicPr>
                      <a:picLocks noChangeAspect="1" noChangeArrowheads="1"/>
                    </pic:cNvPicPr>
                  </pic:nvPicPr>
                  <pic:blipFill>
                    <a:blip r:embed="rId44" cstate="print"/>
                    <a:srcRect/>
                    <a:stretch>
                      <a:fillRect/>
                    </a:stretch>
                  </pic:blipFill>
                  <pic:spPr bwMode="auto">
                    <a:xfrm>
                      <a:off x="0" y="0"/>
                      <a:ext cx="1683276" cy="2082022"/>
                    </a:xfrm>
                    <a:prstGeom prst="rect">
                      <a:avLst/>
                    </a:prstGeom>
                    <a:noFill/>
                    <a:ln w="9525">
                      <a:noFill/>
                      <a:miter lim="800000"/>
                      <a:headEnd/>
                      <a:tailEnd/>
                    </a:ln>
                  </pic:spPr>
                </pic:pic>
              </a:graphicData>
            </a:graphic>
          </wp:inline>
        </w:drawing>
      </w:r>
      <w:r>
        <w:rPr>
          <w:noProof/>
          <w:lang w:eastAsia="fr-FR"/>
        </w:rPr>
        <w:drawing>
          <wp:inline distT="0" distB="0" distL="0" distR="0">
            <wp:extent cx="1648145" cy="2081085"/>
            <wp:effectExtent l="19050" t="0" r="9205" b="0"/>
            <wp:docPr id="52" name="Image 38" descr="http://goldengate.org/exhibits/images/GGB-exhibit3-1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oldengate.org/exhibits/images/GGB-exhibit3-1_8-1.jpg"/>
                    <pic:cNvPicPr>
                      <a:picLocks noChangeAspect="1" noChangeArrowheads="1"/>
                    </pic:cNvPicPr>
                  </pic:nvPicPr>
                  <pic:blipFill>
                    <a:blip r:embed="rId45" cstate="print"/>
                    <a:srcRect/>
                    <a:stretch>
                      <a:fillRect/>
                    </a:stretch>
                  </pic:blipFill>
                  <pic:spPr bwMode="auto">
                    <a:xfrm>
                      <a:off x="0" y="0"/>
                      <a:ext cx="1653530" cy="2087884"/>
                    </a:xfrm>
                    <a:prstGeom prst="rect">
                      <a:avLst/>
                    </a:prstGeom>
                    <a:noFill/>
                    <a:ln w="9525">
                      <a:noFill/>
                      <a:miter lim="800000"/>
                      <a:headEnd/>
                      <a:tailEnd/>
                    </a:ln>
                  </pic:spPr>
                </pic:pic>
              </a:graphicData>
            </a:graphic>
          </wp:inline>
        </w:drawing>
      </w:r>
      <w:r>
        <w:rPr>
          <w:noProof/>
          <w:lang w:eastAsia="fr-FR"/>
        </w:rPr>
        <w:t xml:space="preserve"> </w:t>
      </w:r>
    </w:p>
    <w:p w:rsidR="0084286A" w:rsidRDefault="00160F69" w:rsidP="00160F69">
      <w:pPr>
        <w:pStyle w:val="Lgende"/>
      </w:pPr>
      <w:r>
        <w:t xml:space="preserve">Figure </w:t>
      </w:r>
      <w:fldSimple w:instr=" SEQ Figure \* ARABIC ">
        <w:r w:rsidR="00B34EA9">
          <w:rPr>
            <w:noProof/>
          </w:rPr>
          <w:t>22</w:t>
        </w:r>
      </w:fldSimple>
      <w:r>
        <w:t xml:space="preserve"> </w:t>
      </w:r>
      <w:r w:rsidR="0084286A">
        <w:t xml:space="preserve">: </w:t>
      </w:r>
      <w:r w:rsidR="0084286A" w:rsidRPr="00160F69">
        <w:t>Equipements</w:t>
      </w:r>
      <w:r w:rsidR="0084286A">
        <w:t xml:space="preserve"> de sécurité sur le</w:t>
      </w:r>
      <w:r>
        <w:t xml:space="preserve"> chantier du Golden </w:t>
      </w:r>
      <w:proofErr w:type="spellStart"/>
      <w:r>
        <w:t>Gate</w:t>
      </w:r>
      <w:proofErr w:type="spellEnd"/>
      <w:r>
        <w:t xml:space="preserve"> Bridge, source [1</w:t>
      </w:r>
      <w:r w:rsidR="006F6BEF">
        <w:t>8</w:t>
      </w:r>
      <w:r>
        <w:t>]</w:t>
      </w:r>
    </w:p>
    <w:p w:rsidR="0084286A" w:rsidRDefault="0084286A" w:rsidP="0084286A">
      <w:r>
        <w:t xml:space="preserve">Aujourd’hui, les EPC et les EPI (respectivement les équipements de protection collective et individuelle) sont obligatoires sur le chantier pour garantir la sécurité de tous. En 1933, durant la construction du Golden </w:t>
      </w:r>
      <w:proofErr w:type="spellStart"/>
      <w:r>
        <w:t>Gate</w:t>
      </w:r>
      <w:proofErr w:type="spellEnd"/>
      <w:r w:rsidR="00A23ABE">
        <w:t xml:space="preserve"> Bridge, cela n’était pas le cas. Le tablier de l</w:t>
      </w:r>
      <w:r>
        <w:t xml:space="preserve">’ouvrage est à 67 m du niveau de la mer et les piles s’élèvent à 230 m. Travailler à de telles hauteurs s’avère dangereux et terrifiant. Les constructeurs ont donc fait particulièrement attention à la sécurité. De façon à limiter le risque de chute mortelle, des filets de sécurité ont été installés </w:t>
      </w:r>
      <w:r w:rsidR="00A23ABE">
        <w:t xml:space="preserve">pour la </w:t>
      </w:r>
      <w:r>
        <w:t>première</w:t>
      </w:r>
      <w:r w:rsidR="00EA2620">
        <w:t xml:space="preserve"> fois lors d’une</w:t>
      </w:r>
      <w:r w:rsidR="00A23ABE">
        <w:t xml:space="preserve"> construction de pont</w:t>
      </w:r>
      <w:r>
        <w:t xml:space="preserve">. De plus, les ouvriers portaient un casque, des lunettes spéciales pour se protéger du vent et une lampe frontale pour les tâches en milieu clos, </w:t>
      </w:r>
      <w:r w:rsidR="005A2C09">
        <w:t>c</w:t>
      </w:r>
      <w:r w:rsidR="00A23ABE">
        <w:t>’était là encore une nouveauté pour ce type de chantier</w:t>
      </w:r>
      <w:r>
        <w:t xml:space="preserve">. </w:t>
      </w:r>
      <w:r w:rsidR="00A23ABE">
        <w:t>Afin de</w:t>
      </w:r>
      <w:r>
        <w:t xml:space="preserve"> limiter les risques d’inhalation de vapeurs toxiques lors de la mise en place des rivets</w:t>
      </w:r>
      <w:r w:rsidR="00A23ABE">
        <w:t xml:space="preserve"> (la couche d’apprêt empêchant la corrosion lors de la construction avant la peinture comportait du plomb)</w:t>
      </w:r>
      <w:r>
        <w:t xml:space="preserve">, les travailleurs devaient même porter un </w:t>
      </w:r>
      <w:r>
        <w:lastRenderedPageBreak/>
        <w:t>appareil respiratoire. Finalement, ce sont 11 personnes qui ont trouvé la mort sur ce chantier dont 10 lors de la chute d’un échafaudage qui a traversé le filet</w:t>
      </w:r>
      <w:r w:rsidR="00A23ABE">
        <w:t xml:space="preserve"> (19 hommes ont eu la vi</w:t>
      </w:r>
      <w:r w:rsidR="00EA2620">
        <w:t>e</w:t>
      </w:r>
      <w:r w:rsidR="00A23ABE">
        <w:t xml:space="preserve"> sauve grâce au filet).</w:t>
      </w:r>
      <w:r>
        <w:t xml:space="preserve"> Compte tenu l’importance de l’édifice, le nombre de décès est très faible pour l’époque.</w:t>
      </w:r>
    </w:p>
    <w:p w:rsidR="0084286A" w:rsidRDefault="0084286A" w:rsidP="00CD2513">
      <w:pPr>
        <w:pStyle w:val="Titre2"/>
        <w:spacing w:before="240"/>
      </w:pPr>
      <w:r>
        <w:t xml:space="preserve">3.5 - </w:t>
      </w:r>
      <w:r w:rsidR="004202BC">
        <w:t>C</w:t>
      </w:r>
      <w:r>
        <w:t xml:space="preserve">ouleur </w:t>
      </w:r>
      <w:r w:rsidR="004202BC">
        <w:t xml:space="preserve">et esthétique </w:t>
      </w:r>
      <w:r>
        <w:t>du pont</w:t>
      </w:r>
    </w:p>
    <w:p w:rsidR="0084286A" w:rsidRDefault="0084286A" w:rsidP="006776B8">
      <w:pPr>
        <w:spacing w:before="120"/>
      </w:pPr>
      <w:r>
        <w:t xml:space="preserve">Depuis sa construction, le Golden </w:t>
      </w:r>
      <w:proofErr w:type="spellStart"/>
      <w:r>
        <w:t>Gate</w:t>
      </w:r>
      <w:proofErr w:type="spellEnd"/>
      <w:r>
        <w:t xml:space="preserve"> Bridge est reconnaissable à sa couleur particulière : Orange international. C’est Irving </w:t>
      </w:r>
      <w:proofErr w:type="spellStart"/>
      <w:r>
        <w:t>Morrow</w:t>
      </w:r>
      <w:proofErr w:type="spellEnd"/>
      <w:r>
        <w:t>, architecte américain, qui a choisi cette couleur malgré les nombreuses contestations. Les autres peintures proposées étaient le gris acier ou aluminium ou encore une succession de rayures jaunes et noires (rendant le pont plus visible par les navires).</w:t>
      </w:r>
    </w:p>
    <w:p w:rsidR="0084286A" w:rsidRPr="0084286A" w:rsidRDefault="0084286A" w:rsidP="0084286A">
      <w:r w:rsidRPr="0084286A">
        <w:t xml:space="preserve">Comme la Tour Eiffel, les travaux de peinture constituent </w:t>
      </w:r>
      <w:r w:rsidR="004202BC">
        <w:t>un</w:t>
      </w:r>
      <w:r w:rsidRPr="0084286A">
        <w:t xml:space="preserve"> entretien </w:t>
      </w:r>
      <w:r w:rsidR="004202BC">
        <w:t xml:space="preserve">perpétuel </w:t>
      </w:r>
      <w:r w:rsidRPr="0084286A">
        <w:t>du pont pour éviter la corrosion due à l’air et au sel</w:t>
      </w:r>
      <w:r w:rsidR="004202BC">
        <w:t xml:space="preserve"> (figure 2</w:t>
      </w:r>
      <w:r w:rsidR="001C3577">
        <w:t>3</w:t>
      </w:r>
      <w:r w:rsidR="004202BC">
        <w:t>)</w:t>
      </w:r>
      <w:r w:rsidRPr="0084286A">
        <w:t xml:space="preserve">. Plusieurs changements de revêtement ont été réalisés au cours du temps pour des raisons environnementales passant de la peinture au plomb, au vernis vinyle puis acrylique dans les années 90. Aujourd’hui seules les zones les plus touchées par la corrosion sont retouchées. </w:t>
      </w:r>
    </w:p>
    <w:p w:rsidR="00D6463D" w:rsidRDefault="000D00D6" w:rsidP="000D00D6">
      <w:pPr>
        <w:pStyle w:val="Sansinterligne"/>
        <w:rPr>
          <w:noProof/>
          <w:lang w:eastAsia="fr-FR"/>
        </w:rPr>
      </w:pPr>
      <w:r>
        <w:rPr>
          <w:noProof/>
          <w:lang w:eastAsia="fr-FR"/>
        </w:rPr>
        <w:drawing>
          <wp:inline distT="0" distB="0" distL="0" distR="0">
            <wp:extent cx="2327564" cy="1745673"/>
            <wp:effectExtent l="19050" t="0" r="0" b="0"/>
            <wp:docPr id="54" name="Image 44" descr="http://goldengate.org/exhibits/images/GGB-exhibit3-1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oldengate.org/exhibits/images/GGB-exhibit3-1_9-7.jpg"/>
                    <pic:cNvPicPr>
                      <a:picLocks noChangeAspect="1" noChangeArrowheads="1"/>
                    </pic:cNvPicPr>
                  </pic:nvPicPr>
                  <pic:blipFill>
                    <a:blip r:embed="rId46" cstate="print"/>
                    <a:srcRect/>
                    <a:stretch>
                      <a:fillRect/>
                    </a:stretch>
                  </pic:blipFill>
                  <pic:spPr bwMode="auto">
                    <a:xfrm>
                      <a:off x="0" y="0"/>
                      <a:ext cx="2334158" cy="1750618"/>
                    </a:xfrm>
                    <a:prstGeom prst="rect">
                      <a:avLst/>
                    </a:prstGeom>
                    <a:noFill/>
                    <a:ln w="9525">
                      <a:noFill/>
                      <a:miter lim="800000"/>
                      <a:headEnd/>
                      <a:tailEnd/>
                    </a:ln>
                  </pic:spPr>
                </pic:pic>
              </a:graphicData>
            </a:graphic>
          </wp:inline>
        </w:drawing>
      </w:r>
      <w:r>
        <w:rPr>
          <w:noProof/>
          <w:lang w:eastAsia="fr-FR"/>
        </w:rPr>
        <w:t xml:space="preserve"> </w:t>
      </w:r>
      <w:r w:rsidR="006776B8">
        <w:rPr>
          <w:noProof/>
          <w:lang w:eastAsia="fr-FR"/>
        </w:rPr>
        <w:tab/>
      </w:r>
      <w:r w:rsidR="00514D5F">
        <w:rPr>
          <w:noProof/>
          <w:lang w:eastAsia="fr-FR"/>
        </w:rPr>
        <w:drawing>
          <wp:inline distT="0" distB="0" distL="0" distR="0">
            <wp:extent cx="2322668" cy="1745094"/>
            <wp:effectExtent l="19050" t="0" r="1432" b="0"/>
            <wp:docPr id="59" name="Image 53" descr="http://goldengate.org/exhibits/images/GGB-exhibit2-4_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oldengate.org/exhibits/images/GGB-exhibit2-4_2-s.jpg"/>
                    <pic:cNvPicPr>
                      <a:picLocks noChangeAspect="1" noChangeArrowheads="1"/>
                    </pic:cNvPicPr>
                  </pic:nvPicPr>
                  <pic:blipFill>
                    <a:blip r:embed="rId47" cstate="print"/>
                    <a:srcRect/>
                    <a:stretch>
                      <a:fillRect/>
                    </a:stretch>
                  </pic:blipFill>
                  <pic:spPr bwMode="auto">
                    <a:xfrm>
                      <a:off x="0" y="0"/>
                      <a:ext cx="2334395" cy="1753905"/>
                    </a:xfrm>
                    <a:prstGeom prst="rect">
                      <a:avLst/>
                    </a:prstGeom>
                    <a:noFill/>
                    <a:ln w="9525">
                      <a:noFill/>
                      <a:miter lim="800000"/>
                      <a:headEnd/>
                      <a:tailEnd/>
                    </a:ln>
                  </pic:spPr>
                </pic:pic>
              </a:graphicData>
            </a:graphic>
          </wp:inline>
        </w:drawing>
      </w:r>
    </w:p>
    <w:p w:rsidR="000D00D6" w:rsidRPr="0084286A" w:rsidRDefault="000D00D6" w:rsidP="000D00D6">
      <w:pPr>
        <w:pStyle w:val="Lgende"/>
      </w:pPr>
      <w:r>
        <w:t xml:space="preserve">Figure </w:t>
      </w:r>
      <w:fldSimple w:instr=" SEQ Figure \* ARABIC ">
        <w:r w:rsidR="00B34EA9">
          <w:rPr>
            <w:noProof/>
          </w:rPr>
          <w:t>23</w:t>
        </w:r>
      </w:fldSimple>
      <w:r>
        <w:t> : Décapage de l’ancienne couche de peinture et de la rouille et application de la peinture « orange international », source [1</w:t>
      </w:r>
      <w:r w:rsidR="006F6BEF">
        <w:t>8</w:t>
      </w:r>
      <w:r>
        <w:t>]</w:t>
      </w:r>
    </w:p>
    <w:p w:rsidR="004202BC" w:rsidRDefault="004202BC" w:rsidP="004202BC">
      <w:r>
        <w:t>Le Golde</w:t>
      </w:r>
      <w:r w:rsidR="000C7E26">
        <w:t xml:space="preserve">n </w:t>
      </w:r>
      <w:proofErr w:type="spellStart"/>
      <w:r w:rsidR="000C7E26">
        <w:t>Gate</w:t>
      </w:r>
      <w:proofErr w:type="spellEnd"/>
      <w:r w:rsidR="000C7E26">
        <w:t xml:space="preserve"> Bridge, comme le Chrysler</w:t>
      </w:r>
      <w:r>
        <w:t xml:space="preserve"> building édifié quelques années auparavant, </w:t>
      </w:r>
      <w:r w:rsidR="00171B18">
        <w:t xml:space="preserve">est </w:t>
      </w:r>
      <w:r>
        <w:t xml:space="preserve">un monument typique des années 1930 de style Art Déco, reconnaissable aux motifs en chevron et biseautés des </w:t>
      </w:r>
      <w:r w:rsidR="00171B18">
        <w:t>pylônes</w:t>
      </w:r>
      <w:r>
        <w:t xml:space="preserve"> aux lampadaires (figure 2</w:t>
      </w:r>
      <w:r w:rsidR="001C3577">
        <w:t>4</w:t>
      </w:r>
      <w:r>
        <w:t>).</w:t>
      </w:r>
    </w:p>
    <w:tbl>
      <w:tblPr>
        <w:tblStyle w:val="Grilledutableau"/>
        <w:tblW w:w="974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812"/>
      </w:tblGrid>
      <w:tr w:rsidR="004202BC" w:rsidTr="006776B8">
        <w:tc>
          <w:tcPr>
            <w:tcW w:w="3936" w:type="dxa"/>
          </w:tcPr>
          <w:p w:rsidR="004202BC" w:rsidRDefault="00171B18" w:rsidP="00171B18">
            <w:pPr>
              <w:spacing w:before="0" w:after="0"/>
            </w:pPr>
            <w:r>
              <w:rPr>
                <w:noProof/>
                <w:lang w:eastAsia="fr-FR"/>
              </w:rPr>
              <w:drawing>
                <wp:inline distT="0" distB="0" distL="0" distR="0">
                  <wp:extent cx="2166797" cy="3250194"/>
                  <wp:effectExtent l="19050" t="0" r="4903" b="0"/>
                  <wp:docPr id="72" name="Image 71" descr="Golden_Gate_bridge_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_Gate_bridge_pillar.jpg"/>
                          <pic:cNvPicPr/>
                        </pic:nvPicPr>
                        <pic:blipFill>
                          <a:blip r:embed="rId48" cstate="print"/>
                          <a:stretch>
                            <a:fillRect/>
                          </a:stretch>
                        </pic:blipFill>
                        <pic:spPr>
                          <a:xfrm>
                            <a:off x="0" y="0"/>
                            <a:ext cx="2169588" cy="3254380"/>
                          </a:xfrm>
                          <a:prstGeom prst="rect">
                            <a:avLst/>
                          </a:prstGeom>
                        </pic:spPr>
                      </pic:pic>
                    </a:graphicData>
                  </a:graphic>
                </wp:inline>
              </w:drawing>
            </w:r>
          </w:p>
        </w:tc>
        <w:tc>
          <w:tcPr>
            <w:tcW w:w="5812" w:type="dxa"/>
          </w:tcPr>
          <w:p w:rsidR="00171B18" w:rsidRDefault="004202BC" w:rsidP="00171B18">
            <w:pPr>
              <w:spacing w:before="0" w:after="60"/>
            </w:pPr>
            <w:r>
              <w:rPr>
                <w:noProof/>
                <w:lang w:eastAsia="fr-FR"/>
              </w:rPr>
              <w:drawing>
                <wp:inline distT="0" distB="0" distL="0" distR="0">
                  <wp:extent cx="1363884" cy="2250409"/>
                  <wp:effectExtent l="19050" t="0" r="7716" b="0"/>
                  <wp:docPr id="66" name="Image 62" descr="http://goldengate.org/exhibits/images/GGB-exhibit2-2_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goldengate.org/exhibits/images/GGB-exhibit2-2_5-s.jpg"/>
                          <pic:cNvPicPr>
                            <a:picLocks noChangeAspect="1" noChangeArrowheads="1"/>
                          </pic:cNvPicPr>
                        </pic:nvPicPr>
                        <pic:blipFill>
                          <a:blip r:embed="rId49" cstate="print"/>
                          <a:srcRect/>
                          <a:stretch>
                            <a:fillRect/>
                          </a:stretch>
                        </pic:blipFill>
                        <pic:spPr bwMode="auto">
                          <a:xfrm>
                            <a:off x="0" y="0"/>
                            <a:ext cx="1368444" cy="2257934"/>
                          </a:xfrm>
                          <a:prstGeom prst="rect">
                            <a:avLst/>
                          </a:prstGeom>
                          <a:noFill/>
                          <a:ln w="9525">
                            <a:noFill/>
                            <a:miter lim="800000"/>
                            <a:headEnd/>
                            <a:tailEnd/>
                          </a:ln>
                        </pic:spPr>
                      </pic:pic>
                    </a:graphicData>
                  </a:graphic>
                </wp:inline>
              </w:drawing>
            </w:r>
            <w:r w:rsidR="00171B18">
              <w:t xml:space="preserve">              </w:t>
            </w:r>
            <w:r w:rsidR="00171B18">
              <w:rPr>
                <w:noProof/>
                <w:lang w:eastAsia="fr-FR"/>
              </w:rPr>
              <w:drawing>
                <wp:inline distT="0" distB="0" distL="0" distR="0">
                  <wp:extent cx="1011419" cy="2250409"/>
                  <wp:effectExtent l="19050" t="0" r="0" b="0"/>
                  <wp:docPr id="71" name="Image 59" descr="http://goldengate.org/exhibits/images/GGB-exhibit2-2_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goldengate.org/exhibits/images/GGB-exhibit2-2_3-s.jpg"/>
                          <pic:cNvPicPr>
                            <a:picLocks noChangeAspect="1" noChangeArrowheads="1"/>
                          </pic:cNvPicPr>
                        </pic:nvPicPr>
                        <pic:blipFill>
                          <a:blip r:embed="rId50" cstate="print"/>
                          <a:srcRect/>
                          <a:stretch>
                            <a:fillRect/>
                          </a:stretch>
                        </pic:blipFill>
                        <pic:spPr bwMode="auto">
                          <a:xfrm>
                            <a:off x="0" y="0"/>
                            <a:ext cx="1013335" cy="2254673"/>
                          </a:xfrm>
                          <a:prstGeom prst="rect">
                            <a:avLst/>
                          </a:prstGeom>
                          <a:noFill/>
                          <a:ln w="9525">
                            <a:noFill/>
                            <a:miter lim="800000"/>
                            <a:headEnd/>
                            <a:tailEnd/>
                          </a:ln>
                        </pic:spPr>
                      </pic:pic>
                    </a:graphicData>
                  </a:graphic>
                </wp:inline>
              </w:drawing>
            </w:r>
          </w:p>
          <w:p w:rsidR="004202BC" w:rsidRDefault="00171B18" w:rsidP="00171B18">
            <w:pPr>
              <w:spacing w:before="0" w:after="0"/>
            </w:pPr>
            <w:r>
              <w:rPr>
                <w:noProof/>
                <w:lang w:eastAsia="fr-FR"/>
              </w:rPr>
              <w:drawing>
                <wp:inline distT="0" distB="0" distL="0" distR="0">
                  <wp:extent cx="3005616" cy="958203"/>
                  <wp:effectExtent l="19050" t="0" r="4284" b="0"/>
                  <wp:docPr id="69" name="Image 65" descr="http://goldengate.org/exhibits/images/GGB-exhibit2-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goldengate.org/exhibits/images/GGB-exhibit2-2_6.jpg"/>
                          <pic:cNvPicPr>
                            <a:picLocks noChangeAspect="1" noChangeArrowheads="1"/>
                          </pic:cNvPicPr>
                        </pic:nvPicPr>
                        <pic:blipFill>
                          <a:blip r:embed="rId51" cstate="print"/>
                          <a:srcRect/>
                          <a:stretch>
                            <a:fillRect/>
                          </a:stretch>
                        </pic:blipFill>
                        <pic:spPr bwMode="auto">
                          <a:xfrm>
                            <a:off x="0" y="0"/>
                            <a:ext cx="3015494" cy="961352"/>
                          </a:xfrm>
                          <a:prstGeom prst="rect">
                            <a:avLst/>
                          </a:prstGeom>
                          <a:noFill/>
                          <a:ln w="9525">
                            <a:noFill/>
                            <a:miter lim="800000"/>
                            <a:headEnd/>
                            <a:tailEnd/>
                          </a:ln>
                        </pic:spPr>
                      </pic:pic>
                    </a:graphicData>
                  </a:graphic>
                </wp:inline>
              </w:drawing>
            </w:r>
          </w:p>
        </w:tc>
      </w:tr>
    </w:tbl>
    <w:p w:rsidR="004202BC" w:rsidRDefault="00171B18" w:rsidP="00171B18">
      <w:pPr>
        <w:pStyle w:val="Lgende"/>
      </w:pPr>
      <w:r>
        <w:t xml:space="preserve">Figure </w:t>
      </w:r>
      <w:fldSimple w:instr=" SEQ Figure \* ARABIC ">
        <w:r w:rsidR="00B34EA9">
          <w:rPr>
            <w:noProof/>
          </w:rPr>
          <w:t>24</w:t>
        </w:r>
      </w:fldSimple>
      <w:r>
        <w:t xml:space="preserve"> : Détails du Golden </w:t>
      </w:r>
      <w:proofErr w:type="spellStart"/>
      <w:r>
        <w:t>Gate</w:t>
      </w:r>
      <w:proofErr w:type="spellEnd"/>
      <w:r>
        <w:t xml:space="preserve"> Bridge</w:t>
      </w:r>
      <w:r w:rsidR="00125A36">
        <w:t>,</w:t>
      </w:r>
      <w:r>
        <w:t xml:space="preserve"> </w:t>
      </w:r>
      <w:r w:rsidR="00125A36">
        <w:t>s</w:t>
      </w:r>
      <w:r>
        <w:t>ources [1</w:t>
      </w:r>
      <w:r w:rsidR="006F6BEF">
        <w:t>8</w:t>
      </w:r>
      <w:r>
        <w:t>] et [23]</w:t>
      </w:r>
    </w:p>
    <w:p w:rsidR="0084286A" w:rsidRDefault="0084286A" w:rsidP="0084286A">
      <w:pPr>
        <w:pStyle w:val="Titre1"/>
      </w:pPr>
      <w:r>
        <w:lastRenderedPageBreak/>
        <w:t xml:space="preserve">4 </w:t>
      </w:r>
      <w:r w:rsidR="00757CA1">
        <w:t>–</w:t>
      </w:r>
      <w:r>
        <w:t xml:space="preserve"> D’hier à aujourd’hui, toujours debout à l’horizon</w:t>
      </w:r>
    </w:p>
    <w:p w:rsidR="0084286A" w:rsidRPr="0084286A" w:rsidRDefault="004F37D6" w:rsidP="00DD2E82">
      <w:r>
        <w:t>D’après</w:t>
      </w:r>
      <w:r w:rsidR="0084286A" w:rsidRPr="0084286A">
        <w:t xml:space="preserve"> Joseph </w:t>
      </w:r>
      <w:r w:rsidR="00DD2E82">
        <w:t xml:space="preserve">B. </w:t>
      </w:r>
      <w:r w:rsidR="0084286A" w:rsidRPr="0084286A">
        <w:t>Strauss, l’ingénieur en chef d</w:t>
      </w:r>
      <w:r>
        <w:t>u</w:t>
      </w:r>
      <w:r w:rsidR="0084286A" w:rsidRPr="0084286A">
        <w:t xml:space="preserve"> </w:t>
      </w:r>
      <w:r w:rsidRPr="0084286A">
        <w:t xml:space="preserve">Golden </w:t>
      </w:r>
      <w:proofErr w:type="spellStart"/>
      <w:r w:rsidRPr="0084286A">
        <w:t>Gate</w:t>
      </w:r>
      <w:proofErr w:type="spellEnd"/>
      <w:r w:rsidRPr="0084286A">
        <w:t xml:space="preserve"> Bridge</w:t>
      </w:r>
      <w:r>
        <w:t>,</w:t>
      </w:r>
      <w:r w:rsidRPr="0084286A">
        <w:t xml:space="preserve"> </w:t>
      </w:r>
      <w:r>
        <w:t>cet</w:t>
      </w:r>
      <w:r w:rsidR="0084286A" w:rsidRPr="0084286A">
        <w:t xml:space="preserve"> ouvrage d’art resterait debout « une éternité ». </w:t>
      </w:r>
      <w:r>
        <w:t xml:space="preserve">Il a effectivement </w:t>
      </w:r>
      <w:r w:rsidRPr="0084286A">
        <w:t>été conçu pour tenir dans le temps</w:t>
      </w:r>
      <w:r w:rsidR="009C2D78">
        <w:t>,</w:t>
      </w:r>
      <w:r>
        <w:t xml:space="preserve"> cependant u</w:t>
      </w:r>
      <w:r w:rsidR="0084286A" w:rsidRPr="0084286A">
        <w:t xml:space="preserve">n entretien régulier et des améliorations sont nécessaires. </w:t>
      </w:r>
    </w:p>
    <w:p w:rsidR="0084286A" w:rsidRPr="0084286A" w:rsidRDefault="0084286A" w:rsidP="0084286A">
      <w:pPr>
        <w:pStyle w:val="Titre2"/>
        <w:rPr>
          <w:rFonts w:ascii="Calibri" w:hAnsi="Calibri" w:cs="Calibri"/>
        </w:rPr>
      </w:pPr>
      <w:r w:rsidRPr="0084286A">
        <w:t>4.1</w:t>
      </w:r>
      <w:r>
        <w:t xml:space="preserve"> -</w:t>
      </w:r>
      <w:r w:rsidRPr="0084286A">
        <w:t xml:space="preserve"> Les modifications apportées au Golden </w:t>
      </w:r>
      <w:proofErr w:type="spellStart"/>
      <w:r w:rsidRPr="0084286A">
        <w:t>Gate</w:t>
      </w:r>
      <w:proofErr w:type="spellEnd"/>
      <w:r w:rsidRPr="0084286A">
        <w:t xml:space="preserve"> Bridge </w:t>
      </w:r>
    </w:p>
    <w:p w:rsidR="0084286A" w:rsidRPr="0084286A" w:rsidRDefault="004F37D6" w:rsidP="00640751">
      <w:pPr>
        <w:spacing w:after="60"/>
      </w:pPr>
      <w:r>
        <w:t xml:space="preserve">Le Golden </w:t>
      </w:r>
      <w:proofErr w:type="spellStart"/>
      <w:r>
        <w:t>Gate</w:t>
      </w:r>
      <w:proofErr w:type="spellEnd"/>
      <w:r>
        <w:t xml:space="preserve"> </w:t>
      </w:r>
      <w:r w:rsidR="009C2D78">
        <w:t>B</w:t>
      </w:r>
      <w:r>
        <w:t>ridge</w:t>
      </w:r>
      <w:r w:rsidR="0084286A" w:rsidRPr="0084286A">
        <w:t xml:space="preserve"> </w:t>
      </w:r>
      <w:r>
        <w:t xml:space="preserve">a été </w:t>
      </w:r>
      <w:r w:rsidR="003102B0">
        <w:t>inauguré</w:t>
      </w:r>
      <w:r>
        <w:t xml:space="preserve"> en 1937. Depuis</w:t>
      </w:r>
      <w:r w:rsidR="0084286A" w:rsidRPr="0084286A">
        <w:t xml:space="preserve"> </w:t>
      </w:r>
      <w:r>
        <w:t>d</w:t>
      </w:r>
      <w:r w:rsidR="0084286A" w:rsidRPr="0084286A">
        <w:t xml:space="preserve">es modifications ont été réalisées sur le pont de la Porte d’Or : </w:t>
      </w:r>
    </w:p>
    <w:p w:rsidR="0084286A" w:rsidRPr="0084286A" w:rsidRDefault="004F37D6" w:rsidP="00AC1D1C">
      <w:pPr>
        <w:pStyle w:val="Paragraphedeliste"/>
        <w:numPr>
          <w:ilvl w:val="0"/>
          <w:numId w:val="20"/>
        </w:numPr>
        <w:spacing w:before="60" w:after="60"/>
        <w:ind w:left="714" w:hanging="357"/>
        <w:contextualSpacing w:val="0"/>
      </w:pPr>
      <w:r>
        <w:t xml:space="preserve">réfection du </w:t>
      </w:r>
      <w:r w:rsidRPr="0084286A">
        <w:t xml:space="preserve">contreventement du dessous du tablier </w:t>
      </w:r>
      <w:r>
        <w:t>afin de</w:t>
      </w:r>
      <w:r w:rsidR="0084286A" w:rsidRPr="0084286A">
        <w:t xml:space="preserve"> mieux résister à la torsion sous vents viole</w:t>
      </w:r>
      <w:r w:rsidR="009C2D78">
        <w:t>n</w:t>
      </w:r>
      <w:r w:rsidR="0084286A" w:rsidRPr="0084286A">
        <w:t>ts</w:t>
      </w:r>
      <w:r>
        <w:t xml:space="preserve"> </w:t>
      </w:r>
      <w:r w:rsidR="00DD2E82">
        <w:t>;</w:t>
      </w:r>
      <w:r w:rsidR="0084286A" w:rsidRPr="0084286A">
        <w:t xml:space="preserve"> </w:t>
      </w:r>
    </w:p>
    <w:p w:rsidR="0084286A" w:rsidRPr="0084286A" w:rsidRDefault="00DD2E82" w:rsidP="00AC1D1C">
      <w:pPr>
        <w:pStyle w:val="Paragraphedeliste"/>
        <w:numPr>
          <w:ilvl w:val="0"/>
          <w:numId w:val="20"/>
        </w:numPr>
        <w:spacing w:before="60" w:after="60"/>
        <w:contextualSpacing w:val="0"/>
      </w:pPr>
      <w:r>
        <w:t>u</w:t>
      </w:r>
      <w:r w:rsidR="0084286A" w:rsidRPr="0084286A">
        <w:t>ne partie du tablier a été remplacée par une couche structurelle plus légère</w:t>
      </w:r>
      <w:r>
        <w:t> ;</w:t>
      </w:r>
      <w:r w:rsidR="0084286A" w:rsidRPr="0084286A">
        <w:t xml:space="preserve"> </w:t>
      </w:r>
    </w:p>
    <w:p w:rsidR="0084286A" w:rsidRPr="0084286A" w:rsidRDefault="004F37D6" w:rsidP="00AC1D1C">
      <w:pPr>
        <w:pStyle w:val="Paragraphedeliste"/>
        <w:numPr>
          <w:ilvl w:val="0"/>
          <w:numId w:val="20"/>
        </w:numPr>
        <w:spacing w:before="60" w:after="60"/>
        <w:contextualSpacing w:val="0"/>
      </w:pPr>
      <w:r>
        <w:t>chacune des</w:t>
      </w:r>
      <w:r w:rsidRPr="0084286A">
        <w:t xml:space="preserve"> 500 suspentes de l’ouvrage </w:t>
      </w:r>
      <w:r>
        <w:t>a été remplacée (une à</w:t>
      </w:r>
      <w:r w:rsidR="0084286A" w:rsidRPr="0084286A">
        <w:t xml:space="preserve"> une</w:t>
      </w:r>
      <w:r>
        <w:t>)</w:t>
      </w:r>
      <w:r w:rsidR="00DD2E82">
        <w:t> ;</w:t>
      </w:r>
      <w:r w:rsidR="0084286A" w:rsidRPr="0084286A">
        <w:t xml:space="preserve"> </w:t>
      </w:r>
    </w:p>
    <w:p w:rsidR="0084286A" w:rsidRPr="0084286A" w:rsidRDefault="00DD2E82" w:rsidP="00AC1D1C">
      <w:pPr>
        <w:pStyle w:val="Paragraphedeliste"/>
        <w:numPr>
          <w:ilvl w:val="0"/>
          <w:numId w:val="20"/>
        </w:numPr>
        <w:spacing w:before="60" w:after="60"/>
        <w:contextualSpacing w:val="0"/>
      </w:pPr>
      <w:r>
        <w:t>d</w:t>
      </w:r>
      <w:r w:rsidR="0084286A" w:rsidRPr="0084286A">
        <w:t xml:space="preserve">es dispositifs </w:t>
      </w:r>
      <w:r w:rsidR="009C2D78">
        <w:t>para</w:t>
      </w:r>
      <w:r w:rsidR="0084286A" w:rsidRPr="0084286A">
        <w:t>sismiques ont été installés</w:t>
      </w:r>
      <w:r w:rsidR="004F37D6">
        <w:t>, profitant des progrès de compréhension des séismes par rapport aux connaissances de l’époque</w:t>
      </w:r>
      <w:r w:rsidR="0084286A" w:rsidRPr="0084286A">
        <w:t xml:space="preserve"> </w:t>
      </w:r>
      <w:r>
        <w:t>(figure 2</w:t>
      </w:r>
      <w:r w:rsidR="006650FD">
        <w:t>5</w:t>
      </w:r>
      <w:r w:rsidR="0084286A" w:rsidRPr="0084286A">
        <w:t>)</w:t>
      </w:r>
      <w:r>
        <w:t> ;</w:t>
      </w:r>
    </w:p>
    <w:p w:rsidR="0084286A" w:rsidRPr="0084286A" w:rsidRDefault="00F14933" w:rsidP="00AC1D1C">
      <w:pPr>
        <w:pStyle w:val="Paragraphedeliste"/>
        <w:numPr>
          <w:ilvl w:val="0"/>
          <w:numId w:val="20"/>
        </w:numPr>
        <w:spacing w:before="60" w:after="60"/>
        <w:contextualSpacing w:val="0"/>
      </w:pPr>
      <w:r>
        <w:t>une partie des</w:t>
      </w:r>
      <w:r w:rsidR="0084286A" w:rsidRPr="0084286A">
        <w:t xml:space="preserve"> contreventement</w:t>
      </w:r>
      <w:r>
        <w:t>s</w:t>
      </w:r>
      <w:r w:rsidR="0084286A" w:rsidRPr="0084286A">
        <w:t xml:space="preserve"> en croix de Saint-André au-dessus de Fort Point</w:t>
      </w:r>
      <w:r>
        <w:t xml:space="preserve"> (fort militaire au sud de l’entrée de la baie de San Francisco, figure 2</w:t>
      </w:r>
      <w:r w:rsidR="006650FD">
        <w:t>6</w:t>
      </w:r>
      <w:r>
        <w:t>)</w:t>
      </w:r>
      <w:r w:rsidR="0084286A" w:rsidRPr="0084286A">
        <w:t>, a été remplacé</w:t>
      </w:r>
      <w:r>
        <w:t>e</w:t>
      </w:r>
      <w:r w:rsidR="0084286A" w:rsidRPr="0084286A">
        <w:t xml:space="preserve"> par des éléments en acier plus résistants</w:t>
      </w:r>
      <w:r w:rsidR="00DD2E82">
        <w:t> ;</w:t>
      </w:r>
      <w:r w:rsidR="0084286A" w:rsidRPr="0084286A">
        <w:t xml:space="preserve"> </w:t>
      </w:r>
    </w:p>
    <w:p w:rsidR="0084286A" w:rsidRPr="0084286A" w:rsidRDefault="00DD2E82" w:rsidP="00AC1D1C">
      <w:pPr>
        <w:pStyle w:val="Paragraphedeliste"/>
        <w:numPr>
          <w:ilvl w:val="0"/>
          <w:numId w:val="20"/>
        </w:numPr>
        <w:spacing w:before="60" w:after="60"/>
        <w:contextualSpacing w:val="0"/>
      </w:pPr>
      <w:r>
        <w:t>d</w:t>
      </w:r>
      <w:r w:rsidR="0084286A" w:rsidRPr="0084286A">
        <w:t>es sondes de mesure de déplacements ont été mises en place à divers endroits pour surveiller l’ouvrage</w:t>
      </w:r>
      <w:r>
        <w:t> </w:t>
      </w:r>
      <w:r w:rsidR="002C2155">
        <w:t xml:space="preserve">sous l’action du vent, des séismes ou encore des charges de roulage, ou des variations de température </w:t>
      </w:r>
      <w:r>
        <w:t>;</w:t>
      </w:r>
      <w:r w:rsidR="0084286A" w:rsidRPr="0084286A">
        <w:t xml:space="preserve"> </w:t>
      </w:r>
    </w:p>
    <w:p w:rsidR="0084286A" w:rsidRDefault="00DD2E82" w:rsidP="00AC1D1C">
      <w:pPr>
        <w:pStyle w:val="Paragraphedeliste"/>
        <w:numPr>
          <w:ilvl w:val="0"/>
          <w:numId w:val="20"/>
        </w:numPr>
        <w:spacing w:before="60" w:after="60"/>
        <w:contextualSpacing w:val="0"/>
      </w:pPr>
      <w:r>
        <w:t>d</w:t>
      </w:r>
      <w:r w:rsidR="0084286A" w:rsidRPr="0084286A">
        <w:t>es actions pour prévenir la corrosion sont menées en permanence</w:t>
      </w:r>
      <w:r w:rsidR="00F14933">
        <w:t xml:space="preserve"> (figure 2</w:t>
      </w:r>
      <w:r w:rsidR="006650FD">
        <w:t>3</w:t>
      </w:r>
      <w:r w:rsidR="00F14933">
        <w:t>)</w:t>
      </w:r>
      <w:r w:rsidR="0084286A" w:rsidRPr="0084286A">
        <w:t xml:space="preserve">. </w:t>
      </w:r>
    </w:p>
    <w:p w:rsidR="0059667E" w:rsidRDefault="00F14933" w:rsidP="006776B8">
      <w:pPr>
        <w:autoSpaceDE w:val="0"/>
        <w:autoSpaceDN w:val="0"/>
        <w:adjustRightInd w:val="0"/>
        <w:spacing w:after="0" w:line="240" w:lineRule="auto"/>
        <w:jc w:val="center"/>
      </w:pPr>
      <w:r>
        <w:rPr>
          <w:noProof/>
          <w:lang w:eastAsia="fr-FR"/>
        </w:rPr>
        <w:drawing>
          <wp:inline distT="0" distB="0" distL="0" distR="0">
            <wp:extent cx="3027679" cy="2270760"/>
            <wp:effectExtent l="19050" t="0" r="1271" b="0"/>
            <wp:docPr id="56" name="Image 47" descr="http://goldengate.org/exhibits/images/GGB-exhibit3-1_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oldengate.org/exhibits/images/GGB-exhibit3-1_9-8.jpg"/>
                    <pic:cNvPicPr>
                      <a:picLocks noChangeAspect="1" noChangeArrowheads="1"/>
                    </pic:cNvPicPr>
                  </pic:nvPicPr>
                  <pic:blipFill>
                    <a:blip r:embed="rId52" cstate="print"/>
                    <a:srcRect/>
                    <a:stretch>
                      <a:fillRect/>
                    </a:stretch>
                  </pic:blipFill>
                  <pic:spPr bwMode="auto">
                    <a:xfrm>
                      <a:off x="0" y="0"/>
                      <a:ext cx="3030164" cy="2272624"/>
                    </a:xfrm>
                    <a:prstGeom prst="rect">
                      <a:avLst/>
                    </a:prstGeom>
                    <a:noFill/>
                    <a:ln w="9525">
                      <a:noFill/>
                      <a:miter lim="800000"/>
                      <a:headEnd/>
                      <a:tailEnd/>
                    </a:ln>
                  </pic:spPr>
                </pic:pic>
              </a:graphicData>
            </a:graphic>
          </wp:inline>
        </w:drawing>
      </w:r>
      <w:r w:rsidR="006776B8">
        <w:t xml:space="preserve">  </w:t>
      </w:r>
      <w:r>
        <w:rPr>
          <w:noProof/>
          <w:lang w:eastAsia="fr-FR"/>
        </w:rPr>
        <w:drawing>
          <wp:inline distT="0" distB="0" distL="0" distR="0">
            <wp:extent cx="3026410" cy="2269808"/>
            <wp:effectExtent l="19050" t="0" r="2540" b="0"/>
            <wp:docPr id="55" name="Image 54" descr="Fort_Point_under_the_Golden_Gate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_Point_under_the_Golden_Gate_Bridge.JPG"/>
                    <pic:cNvPicPr/>
                  </pic:nvPicPr>
                  <pic:blipFill>
                    <a:blip r:embed="rId53" cstate="print"/>
                    <a:stretch>
                      <a:fillRect/>
                    </a:stretch>
                  </pic:blipFill>
                  <pic:spPr>
                    <a:xfrm>
                      <a:off x="0" y="0"/>
                      <a:ext cx="3030334" cy="2272751"/>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6"/>
        <w:gridCol w:w="4946"/>
      </w:tblGrid>
      <w:tr w:rsidR="00AC1D1C" w:rsidTr="00952D1E">
        <w:tc>
          <w:tcPr>
            <w:tcW w:w="4946" w:type="dxa"/>
          </w:tcPr>
          <w:p w:rsidR="00AC1D1C" w:rsidRDefault="00AC1D1C" w:rsidP="006F6BEF">
            <w:pPr>
              <w:pStyle w:val="Lgende"/>
            </w:pPr>
            <w:r>
              <w:t xml:space="preserve">Figure </w:t>
            </w:r>
            <w:fldSimple w:instr=" SEQ Figure \* ARABIC ">
              <w:r w:rsidR="00B34EA9">
                <w:rPr>
                  <w:noProof/>
                </w:rPr>
                <w:t>25</w:t>
              </w:r>
            </w:fldSimple>
            <w:r>
              <w:t> : Remplacement d'une pile par une nouvelle munie de dispositifs antisismiques, source [1</w:t>
            </w:r>
            <w:r w:rsidR="006F6BEF">
              <w:t>8</w:t>
            </w:r>
            <w:r>
              <w:t>]</w:t>
            </w:r>
          </w:p>
        </w:tc>
        <w:tc>
          <w:tcPr>
            <w:tcW w:w="4946" w:type="dxa"/>
          </w:tcPr>
          <w:p w:rsidR="00AC1D1C" w:rsidRPr="00AC1D1C" w:rsidRDefault="00AC1D1C" w:rsidP="00AC1D1C">
            <w:pPr>
              <w:pStyle w:val="Lgende"/>
              <w:rPr>
                <w:iCs/>
                <w:sz w:val="19"/>
                <w:szCs w:val="19"/>
              </w:rPr>
            </w:pPr>
            <w:r>
              <w:t xml:space="preserve">Figure </w:t>
            </w:r>
            <w:fldSimple w:instr=" SEQ Figure \* ARABIC ">
              <w:r w:rsidR="00B34EA9">
                <w:rPr>
                  <w:noProof/>
                </w:rPr>
                <w:t>26</w:t>
              </w:r>
            </w:fldSimple>
            <w:r>
              <w:t xml:space="preserve"> : </w:t>
            </w:r>
            <w:r>
              <w:rPr>
                <w:rStyle w:val="mw-mmv-title"/>
              </w:rPr>
              <w:t xml:space="preserve">Fort Point situé en dessous du </w:t>
            </w:r>
            <w:r w:rsidRPr="00F14933">
              <w:rPr>
                <w:rStyle w:val="mw-mmv-title"/>
              </w:rPr>
              <w:t xml:space="preserve">Golden </w:t>
            </w:r>
            <w:proofErr w:type="spellStart"/>
            <w:r w:rsidRPr="00F14933">
              <w:rPr>
                <w:rStyle w:val="mw-mmv-title"/>
              </w:rPr>
              <w:t>Gate</w:t>
            </w:r>
            <w:proofErr w:type="spellEnd"/>
            <w:r w:rsidRPr="00F14933">
              <w:rPr>
                <w:rStyle w:val="mw-mmv-title"/>
              </w:rPr>
              <w:t xml:space="preserve"> Bridge</w:t>
            </w:r>
            <w:r>
              <w:rPr>
                <w:rStyle w:val="mw-mmv-title"/>
              </w:rPr>
              <w:t>, remplacement des croix Saint-André de l’arche en enjambant le fort</w:t>
            </w:r>
          </w:p>
        </w:tc>
      </w:tr>
    </w:tbl>
    <w:p w:rsidR="00F14933" w:rsidRDefault="00F14933" w:rsidP="0084286A">
      <w:pPr>
        <w:autoSpaceDE w:val="0"/>
        <w:autoSpaceDN w:val="0"/>
        <w:adjustRightInd w:val="0"/>
        <w:spacing w:before="0" w:after="0" w:line="240" w:lineRule="auto"/>
        <w:jc w:val="left"/>
        <w:rPr>
          <w:rStyle w:val="mw-mmv-title"/>
        </w:rPr>
      </w:pPr>
    </w:p>
    <w:p w:rsidR="002833A4" w:rsidRPr="002833A4" w:rsidRDefault="002833A4" w:rsidP="001633A1">
      <w:pPr>
        <w:pStyle w:val="Titre2"/>
      </w:pPr>
      <w:r w:rsidRPr="002833A4">
        <w:t>4.2</w:t>
      </w:r>
      <w:r>
        <w:t xml:space="preserve"> -</w:t>
      </w:r>
      <w:r w:rsidRPr="002833A4">
        <w:t xml:space="preserve"> Un pont sous haute surveillance </w:t>
      </w:r>
    </w:p>
    <w:p w:rsidR="002833A4" w:rsidRPr="0084286A" w:rsidRDefault="002833A4" w:rsidP="00640751">
      <w:pPr>
        <w:spacing w:after="60"/>
      </w:pPr>
      <w:r w:rsidRPr="002833A4">
        <w:t xml:space="preserve">Aujourd’hui, le pont est </w:t>
      </w:r>
      <w:r w:rsidR="00D301B4" w:rsidRPr="002833A4">
        <w:t xml:space="preserve">surveillé </w:t>
      </w:r>
      <w:r w:rsidRPr="002833A4">
        <w:t xml:space="preserve">en permanence. Il s’agit en effet d’un ouvrage sensible qui assure la traversée de plus de 26 millions de véhicules par an, soit environ 3 000 par heure </w:t>
      </w:r>
      <w:r w:rsidR="0059667E">
        <w:t>[2</w:t>
      </w:r>
      <w:r w:rsidR="00171B18">
        <w:t>4</w:t>
      </w:r>
      <w:r w:rsidR="0059667E">
        <w:t>]</w:t>
      </w:r>
      <w:r w:rsidRPr="002833A4">
        <w:t xml:space="preserve"> Différents dispositifs et protocoles ont donc été mis en place :</w:t>
      </w:r>
    </w:p>
    <w:p w:rsidR="002833A4" w:rsidRDefault="00D301B4" w:rsidP="00AC1D1C">
      <w:pPr>
        <w:pStyle w:val="Paragraphedeliste"/>
        <w:numPr>
          <w:ilvl w:val="0"/>
          <w:numId w:val="21"/>
        </w:numPr>
        <w:spacing w:before="60" w:after="60"/>
        <w:ind w:left="714" w:hanging="357"/>
        <w:contextualSpacing w:val="0"/>
      </w:pPr>
      <w:r>
        <w:t>i</w:t>
      </w:r>
      <w:r w:rsidR="002833A4" w:rsidRPr="002833A4">
        <w:t xml:space="preserve">nspection des </w:t>
      </w:r>
      <w:r>
        <w:t>z</w:t>
      </w:r>
      <w:r w:rsidR="002833A4" w:rsidRPr="002833A4">
        <w:t>ones critiques tous les 24 mois nécessitant l’intervention de personnels qualifiés pour accéder au-dessous du tablier comme l</w:t>
      </w:r>
      <w:r w:rsidR="00E90977">
        <w:t>e montre</w:t>
      </w:r>
      <w:r w:rsidR="00EA2620">
        <w:t>nt</w:t>
      </w:r>
      <w:r w:rsidR="00E90977">
        <w:t xml:space="preserve"> les figures suivantes.</w:t>
      </w:r>
    </w:p>
    <w:p w:rsidR="002833A4" w:rsidRPr="002833A4" w:rsidRDefault="00D301B4" w:rsidP="00AC1D1C">
      <w:pPr>
        <w:pStyle w:val="Paragraphedeliste"/>
        <w:numPr>
          <w:ilvl w:val="0"/>
          <w:numId w:val="21"/>
        </w:numPr>
        <w:spacing w:before="60" w:after="60"/>
        <w:contextualSpacing w:val="0"/>
      </w:pPr>
      <w:r>
        <w:t>i</w:t>
      </w:r>
      <w:r w:rsidR="002833A4" w:rsidRPr="002833A4">
        <w:t xml:space="preserve">nspection des éléments complexes du pont correspondant aux équipements de suspension et parasismiques – inspection visuelle tous les 24 mois. </w:t>
      </w:r>
    </w:p>
    <w:p w:rsidR="002833A4" w:rsidRPr="002833A4" w:rsidRDefault="00D301B4" w:rsidP="00AC1D1C">
      <w:pPr>
        <w:pStyle w:val="Paragraphedeliste"/>
        <w:numPr>
          <w:ilvl w:val="0"/>
          <w:numId w:val="21"/>
        </w:numPr>
        <w:spacing w:before="60" w:after="60"/>
        <w:contextualSpacing w:val="0"/>
      </w:pPr>
      <w:r>
        <w:lastRenderedPageBreak/>
        <w:t>i</w:t>
      </w:r>
      <w:r w:rsidR="002833A4" w:rsidRPr="002833A4">
        <w:t>nspection des éléments « communs » du pont comme les semelles orthotrope</w:t>
      </w:r>
      <w:r w:rsidR="00EE413E">
        <w:t>s</w:t>
      </w:r>
      <w:r w:rsidR="002833A4" w:rsidRPr="002833A4">
        <w:t xml:space="preserve">, les joints de dilatation, les piles,… tous les 24 mois </w:t>
      </w:r>
    </w:p>
    <w:p w:rsidR="00D301B4" w:rsidRDefault="00D301B4" w:rsidP="00AC1D1C">
      <w:pPr>
        <w:pStyle w:val="Paragraphedeliste"/>
        <w:numPr>
          <w:ilvl w:val="0"/>
          <w:numId w:val="21"/>
        </w:numPr>
        <w:spacing w:before="60" w:after="60"/>
        <w:contextualSpacing w:val="0"/>
      </w:pPr>
      <w:r>
        <w:t>i</w:t>
      </w:r>
      <w:r w:rsidR="002833A4" w:rsidRPr="002833A4">
        <w:t>nspection sous-marine tous les 60 mois d’importance variable (visuelle, détaillée avec opérations de nettoyage, à l’aide de mo</w:t>
      </w:r>
      <w:r w:rsidR="00EA2620">
        <w:t>yens de contrôle non destructif</w:t>
      </w:r>
      <w:r w:rsidR="002833A4" w:rsidRPr="002833A4">
        <w:t xml:space="preserve"> sur des zones définies).</w:t>
      </w:r>
    </w:p>
    <w:p w:rsidR="00D301B4" w:rsidRDefault="00D301B4" w:rsidP="00980BEB">
      <w:pPr>
        <w:pStyle w:val="Sansinterligne"/>
      </w:pPr>
      <w:r w:rsidRPr="00D301B4">
        <w:rPr>
          <w:noProof/>
          <w:lang w:eastAsia="fr-FR"/>
        </w:rPr>
        <w:drawing>
          <wp:inline distT="0" distB="0" distL="0" distR="0">
            <wp:extent cx="4900190" cy="2136675"/>
            <wp:effectExtent l="19050" t="0" r="0" b="0"/>
            <wp:docPr id="5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srcRect/>
                    <a:stretch>
                      <a:fillRect/>
                    </a:stretch>
                  </pic:blipFill>
                  <pic:spPr bwMode="auto">
                    <a:xfrm>
                      <a:off x="0" y="0"/>
                      <a:ext cx="4912405" cy="2142001"/>
                    </a:xfrm>
                    <a:prstGeom prst="rect">
                      <a:avLst/>
                    </a:prstGeom>
                    <a:noFill/>
                    <a:ln w="9525">
                      <a:noFill/>
                      <a:miter lim="800000"/>
                      <a:headEnd/>
                      <a:tailEnd/>
                    </a:ln>
                  </pic:spPr>
                </pic:pic>
              </a:graphicData>
            </a:graphic>
          </wp:inline>
        </w:drawing>
      </w:r>
    </w:p>
    <w:p w:rsidR="00D301B4" w:rsidRPr="002833A4" w:rsidRDefault="00D301B4" w:rsidP="00D301B4">
      <w:pPr>
        <w:pStyle w:val="Lgende"/>
      </w:pPr>
      <w:r>
        <w:t xml:space="preserve">Figure </w:t>
      </w:r>
      <w:fldSimple w:instr=" SEQ Figure \* ARABIC ">
        <w:r w:rsidR="00B34EA9">
          <w:rPr>
            <w:noProof/>
          </w:rPr>
          <w:t>27</w:t>
        </w:r>
      </w:fldSimple>
      <w:r>
        <w:t xml:space="preserve"> : </w:t>
      </w:r>
      <w:r w:rsidRPr="002833A4">
        <w:t>Intervention de contrôle réalisée par des cordistes</w:t>
      </w:r>
      <w:r>
        <w:t xml:space="preserve">, source </w:t>
      </w:r>
      <w:r>
        <w:rPr>
          <w:rFonts w:cs="CMR10"/>
        </w:rPr>
        <w:t>[2</w:t>
      </w:r>
      <w:r w:rsidR="00171B18">
        <w:rPr>
          <w:rFonts w:cs="CMR10"/>
        </w:rPr>
        <w:t>5</w:t>
      </w:r>
      <w:r>
        <w:rPr>
          <w:rFonts w:cs="CMR10"/>
        </w:rPr>
        <w:t>]</w:t>
      </w:r>
    </w:p>
    <w:p w:rsidR="002833A4" w:rsidRDefault="002833A4" w:rsidP="00D301B4">
      <w:pPr>
        <w:pStyle w:val="Titre2"/>
        <w:spacing w:before="240"/>
      </w:pPr>
      <w:r>
        <w:t xml:space="preserve">4.3 - Les </w:t>
      </w:r>
      <w:r w:rsidR="00980BEB">
        <w:t>problèmes d’ordre non technique</w:t>
      </w:r>
    </w:p>
    <w:p w:rsidR="002833A4" w:rsidRDefault="002833A4" w:rsidP="0084286A">
      <w:r>
        <w:t xml:space="preserve">Le Golden </w:t>
      </w:r>
      <w:proofErr w:type="spellStart"/>
      <w:r>
        <w:t>Gate</w:t>
      </w:r>
      <w:proofErr w:type="spellEnd"/>
      <w:r>
        <w:t xml:space="preserve"> Bridge </w:t>
      </w:r>
      <w:r w:rsidR="001633A1">
        <w:t xml:space="preserve">détient un triste record mondial </w:t>
      </w:r>
      <w:r>
        <w:t xml:space="preserve">: </w:t>
      </w:r>
      <w:r w:rsidR="001633A1">
        <w:t xml:space="preserve">depuis 1937, </w:t>
      </w:r>
      <w:r>
        <w:t>ce sont plus de 1</w:t>
      </w:r>
      <w:r w:rsidR="00D301B4">
        <w:t> </w:t>
      </w:r>
      <w:r w:rsidRPr="005244E8">
        <w:t xml:space="preserve">600 personnes qui </w:t>
      </w:r>
      <w:r w:rsidR="001633A1" w:rsidRPr="005244E8">
        <w:t>se sont</w:t>
      </w:r>
      <w:r w:rsidRPr="005244E8">
        <w:t xml:space="preserve"> </w:t>
      </w:r>
      <w:r w:rsidR="000C7E26">
        <w:t>tuées</w:t>
      </w:r>
      <w:r w:rsidRPr="005244E8">
        <w:t xml:space="preserve"> en sautant du tablier</w:t>
      </w:r>
      <w:r w:rsidR="005244E8">
        <w:t xml:space="preserve"> </w:t>
      </w:r>
      <w:r w:rsidR="005244E8" w:rsidRPr="005244E8">
        <w:t>[26</w:t>
      </w:r>
      <w:r w:rsidR="005244E8">
        <w:t>]. Les parkings à chaque extrémité et les balustrades de seulement 1,20 m laissent un accès facile et seules les interventions de passants ou de la police permettaient d’éviter les drames</w:t>
      </w:r>
      <w:r>
        <w:t>. Une vidéosurveillance ainsi que des bornes téléphoniques reliées directement à un service de soutien psychologique ont donc été installées. Plusieurs autres méthodes ont été proposées pour réduire ce nombre. La con</w:t>
      </w:r>
      <w:r w:rsidR="00980BEB">
        <w:t>struction d’un système de filet</w:t>
      </w:r>
      <w:r>
        <w:t xml:space="preserve"> a </w:t>
      </w:r>
      <w:r w:rsidR="00980BEB">
        <w:t xml:space="preserve">été approuvée en 2008. </w:t>
      </w:r>
      <w:r w:rsidR="00EA2620">
        <w:t>Le coût important</w:t>
      </w:r>
      <w:r w:rsidR="00980BEB">
        <w:t xml:space="preserve"> (45 millions de dollars) a retardé les travaux d’installation du filet qui ont </w:t>
      </w:r>
      <w:r>
        <w:t>finalement débuté en avril 2017 pour empêcher, ou du</w:t>
      </w:r>
      <w:r w:rsidR="00980BEB">
        <w:t xml:space="preserve"> moins dissuader ces tentatives</w:t>
      </w:r>
      <w:r>
        <w:t>.</w:t>
      </w:r>
    </w:p>
    <w:p w:rsidR="002833A4" w:rsidRPr="002833A4" w:rsidRDefault="002833A4" w:rsidP="002833A4">
      <w:pPr>
        <w:pStyle w:val="Titre1"/>
      </w:pPr>
      <w:r>
        <w:t>5 – Conclusion</w:t>
      </w:r>
    </w:p>
    <w:p w:rsidR="002833A4" w:rsidRDefault="002833A4" w:rsidP="001633A1">
      <w:r w:rsidRPr="002833A4">
        <w:t xml:space="preserve">Le Golden </w:t>
      </w:r>
      <w:proofErr w:type="spellStart"/>
      <w:r w:rsidRPr="002833A4">
        <w:t>Gate</w:t>
      </w:r>
      <w:proofErr w:type="spellEnd"/>
      <w:r w:rsidRPr="002833A4">
        <w:t xml:space="preserve"> Bridge, véritable emblème de San Francisco, mérite aussi d’être connu pour la prouesse architecturale qu’il représente pour un </w:t>
      </w:r>
      <w:r w:rsidR="00EA2620">
        <w:t>édifice des années 1930. De par</w:t>
      </w:r>
      <w:r w:rsidRPr="002833A4">
        <w:t xml:space="preserve"> sa démarche de conception et les précautions prises lors de sa construction il s’est avéré novateur et a s</w:t>
      </w:r>
      <w:r w:rsidR="00EA2620">
        <w:t>û</w:t>
      </w:r>
      <w:r w:rsidRPr="002833A4">
        <w:t>rement joué un rôle important dans la prise de conscience du monde de la construction vis-à-vis de l’importance du dimensionnement et de la sécurité.</w:t>
      </w:r>
    </w:p>
    <w:p w:rsidR="007E4CFA" w:rsidRDefault="007E4CFA" w:rsidP="00043866">
      <w:pPr>
        <w:spacing w:before="120" w:after="60"/>
        <w:jc w:val="center"/>
      </w:pPr>
      <w:r>
        <w:rPr>
          <w:noProof/>
          <w:lang w:eastAsia="fr-FR"/>
        </w:rPr>
        <w:drawing>
          <wp:inline distT="0" distB="0" distL="0" distR="0">
            <wp:extent cx="5918376" cy="2060294"/>
            <wp:effectExtent l="19050" t="0" r="6174" b="0"/>
            <wp:docPr id="73"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 cstate="print"/>
                    <a:srcRect/>
                    <a:stretch>
                      <a:fillRect/>
                    </a:stretch>
                  </pic:blipFill>
                  <pic:spPr bwMode="auto">
                    <a:xfrm>
                      <a:off x="0" y="0"/>
                      <a:ext cx="5949995" cy="2071301"/>
                    </a:xfrm>
                    <a:prstGeom prst="rect">
                      <a:avLst/>
                    </a:prstGeom>
                    <a:noFill/>
                    <a:ln w="9525">
                      <a:noFill/>
                      <a:miter lim="800000"/>
                      <a:headEnd/>
                      <a:tailEnd/>
                    </a:ln>
                  </pic:spPr>
                </pic:pic>
              </a:graphicData>
            </a:graphic>
          </wp:inline>
        </w:drawing>
      </w:r>
    </w:p>
    <w:p w:rsidR="002833A4" w:rsidRDefault="007E4CFA" w:rsidP="007E4CFA">
      <w:pPr>
        <w:pStyle w:val="Lgende"/>
      </w:pPr>
      <w:r>
        <w:t xml:space="preserve">Figure </w:t>
      </w:r>
      <w:fldSimple w:instr=" SEQ Figure \* ARABIC ">
        <w:r w:rsidR="00B34EA9">
          <w:rPr>
            <w:noProof/>
          </w:rPr>
          <w:t>28</w:t>
        </w:r>
      </w:fldSimple>
      <w:r>
        <w:t xml:space="preserve"> : </w:t>
      </w:r>
      <w:r w:rsidR="002833A4">
        <w:t xml:space="preserve">Diagramme du Golden </w:t>
      </w:r>
      <w:proofErr w:type="spellStart"/>
      <w:r w:rsidR="002833A4">
        <w:t>Gate</w:t>
      </w:r>
      <w:proofErr w:type="spellEnd"/>
      <w:r w:rsidR="002833A4">
        <w:t xml:space="preserve"> Bridge</w:t>
      </w:r>
      <w:r>
        <w:t>, source [1</w:t>
      </w:r>
      <w:r w:rsidR="006F6BEF">
        <w:t>8</w:t>
      </w:r>
      <w:r>
        <w:t>]</w:t>
      </w:r>
    </w:p>
    <w:p w:rsidR="00CE519D" w:rsidRPr="00970BE5" w:rsidRDefault="00CE519D" w:rsidP="00767C5F">
      <w:pPr>
        <w:pStyle w:val="Titre1"/>
        <w:spacing w:before="0" w:after="60"/>
      </w:pPr>
      <w:proofErr w:type="gramStart"/>
      <w:r w:rsidRPr="00970BE5">
        <w:lastRenderedPageBreak/>
        <w:t>Référence</w:t>
      </w:r>
      <w:r>
        <w:t>s</w:t>
      </w:r>
      <w:proofErr w:type="gramEnd"/>
      <w:r w:rsidRPr="00970BE5">
        <w:t> :</w:t>
      </w:r>
    </w:p>
    <w:p w:rsidR="00CE519D" w:rsidRDefault="001422FF" w:rsidP="00767C5F">
      <w:pPr>
        <w:spacing w:before="120" w:after="60"/>
        <w:jc w:val="left"/>
      </w:pPr>
      <w:r>
        <w:t xml:space="preserve">[1]: </w:t>
      </w:r>
      <w:r w:rsidR="00CF0FA5" w:rsidRPr="00CF0FA5">
        <w:t>Daniel L. Lu (</w:t>
      </w:r>
      <w:proofErr w:type="spellStart"/>
      <w:r w:rsidR="00CF0FA5" w:rsidRPr="00CF0FA5">
        <w:t>user:dllu</w:t>
      </w:r>
      <w:proofErr w:type="spellEnd"/>
      <w:r w:rsidR="00CF0FA5" w:rsidRPr="00CF0FA5">
        <w:t xml:space="preserve">) — Travail personnel, CC BY-SA 4.0, </w:t>
      </w:r>
      <w:hyperlink r:id="rId56" w:history="1">
        <w:r w:rsidR="00CF0FA5" w:rsidRPr="006F3CAC">
          <w:rPr>
            <w:rStyle w:val="Lienhypertexte"/>
          </w:rPr>
          <w:t>https://commons.wikimedia.org/w/index.php?curid=69855772</w:t>
        </w:r>
      </w:hyperlink>
    </w:p>
    <w:p w:rsidR="00CE519D" w:rsidRDefault="00CE519D" w:rsidP="00767C5F">
      <w:pPr>
        <w:autoSpaceDE w:val="0"/>
        <w:autoSpaceDN w:val="0"/>
        <w:adjustRightInd w:val="0"/>
        <w:spacing w:before="60" w:after="60" w:line="240" w:lineRule="auto"/>
        <w:jc w:val="left"/>
        <w:rPr>
          <w:rFonts w:cs="CMBX12"/>
        </w:rPr>
      </w:pPr>
      <w:r w:rsidRPr="00CE519D">
        <w:rPr>
          <w:rFonts w:cs="CMR10"/>
        </w:rPr>
        <w:t>[2]:</w:t>
      </w:r>
      <w:r w:rsidRPr="00CE519D">
        <w:rPr>
          <w:rFonts w:cs="CMBX12"/>
        </w:rPr>
        <w:t xml:space="preserve"> </w:t>
      </w:r>
      <w:r w:rsidR="001A098F" w:rsidRPr="001A098F">
        <w:rPr>
          <w:rFonts w:cs="CMBX12"/>
        </w:rPr>
        <w:t xml:space="preserve">Von </w:t>
      </w:r>
      <w:proofErr w:type="spellStart"/>
      <w:r w:rsidR="001A098F" w:rsidRPr="001A098F">
        <w:rPr>
          <w:rFonts w:cs="CMBX12"/>
        </w:rPr>
        <w:t>Alexrk</w:t>
      </w:r>
      <w:proofErr w:type="spellEnd"/>
      <w:r w:rsidR="001A098F" w:rsidRPr="001A098F">
        <w:rPr>
          <w:rFonts w:cs="CMBX12"/>
        </w:rPr>
        <w:t xml:space="preserve"> - </w:t>
      </w:r>
      <w:proofErr w:type="spellStart"/>
      <w:r w:rsidR="001A098F" w:rsidRPr="001A098F">
        <w:rPr>
          <w:rFonts w:cs="CMBX12"/>
        </w:rPr>
        <w:t>Eigenes</w:t>
      </w:r>
      <w:proofErr w:type="spellEnd"/>
      <w:r w:rsidR="001A098F" w:rsidRPr="001A098F">
        <w:rPr>
          <w:rFonts w:cs="CMBX12"/>
        </w:rPr>
        <w:t xml:space="preserve"> </w:t>
      </w:r>
      <w:r w:rsidR="001A098F">
        <w:rPr>
          <w:rFonts w:cs="CMBX12"/>
        </w:rPr>
        <w:t xml:space="preserve"> </w:t>
      </w:r>
      <w:r w:rsidR="001A098F" w:rsidRPr="001A098F">
        <w:rPr>
          <w:rFonts w:cs="CMBX12"/>
        </w:rPr>
        <w:t>Werkhttps://www.census.gov\/geo/www/tiger</w:t>
      </w:r>
      <w:r w:rsidR="005366E7">
        <w:rPr>
          <w:rFonts w:cs="CMBX12"/>
        </w:rPr>
        <w:t xml:space="preserve"> </w:t>
      </w:r>
      <w:r w:rsidR="001A098F" w:rsidRPr="001A098F">
        <w:rPr>
          <w:rFonts w:cs="CMBX12"/>
        </w:rPr>
        <w:t>http://www.mtc.ca.govDiese W3C-</w:t>
      </w:r>
      <w:proofErr w:type="spellStart"/>
      <w:r w:rsidR="001A098F" w:rsidRPr="001A098F">
        <w:rPr>
          <w:rFonts w:cs="CMBX12"/>
        </w:rPr>
        <w:t>unbestimmte</w:t>
      </w:r>
      <w:proofErr w:type="spellEnd"/>
      <w:r w:rsidR="001A098F" w:rsidRPr="001A098F">
        <w:rPr>
          <w:rFonts w:cs="CMBX12"/>
        </w:rPr>
        <w:t xml:space="preserve"> </w:t>
      </w:r>
      <w:proofErr w:type="spellStart"/>
      <w:r w:rsidR="001A098F" w:rsidRPr="001A098F">
        <w:rPr>
          <w:rFonts w:cs="CMBX12"/>
        </w:rPr>
        <w:t>Vektorgrafik</w:t>
      </w:r>
      <w:proofErr w:type="spellEnd"/>
      <w:r w:rsidR="001A098F" w:rsidRPr="001A098F">
        <w:rPr>
          <w:rFonts w:cs="CMBX12"/>
        </w:rPr>
        <w:t xml:space="preserve"> </w:t>
      </w:r>
      <w:proofErr w:type="spellStart"/>
      <w:r w:rsidR="001A098F" w:rsidRPr="001A098F">
        <w:rPr>
          <w:rFonts w:cs="CMBX12"/>
        </w:rPr>
        <w:t>wurde</w:t>
      </w:r>
      <w:proofErr w:type="spellEnd"/>
      <w:r w:rsidR="001A098F" w:rsidRPr="001A098F">
        <w:rPr>
          <w:rFonts w:cs="CMBX12"/>
        </w:rPr>
        <w:t xml:space="preserve"> mit </w:t>
      </w:r>
      <w:proofErr w:type="spellStart"/>
      <w:r w:rsidR="001A098F" w:rsidRPr="001A098F">
        <w:rPr>
          <w:rFonts w:cs="CMBX12"/>
        </w:rPr>
        <w:t>Inkscape</w:t>
      </w:r>
      <w:proofErr w:type="spellEnd"/>
      <w:r w:rsidR="001A098F" w:rsidRPr="001A098F">
        <w:rPr>
          <w:rFonts w:cs="CMBX12"/>
        </w:rPr>
        <w:t xml:space="preserve"> </w:t>
      </w:r>
      <w:proofErr w:type="spellStart"/>
      <w:proofErr w:type="gramStart"/>
      <w:r w:rsidR="001A098F" w:rsidRPr="001A098F">
        <w:rPr>
          <w:rFonts w:cs="CMBX12"/>
        </w:rPr>
        <w:t>erstellt</w:t>
      </w:r>
      <w:proofErr w:type="spellEnd"/>
      <w:r w:rsidR="001A098F" w:rsidRPr="001A098F">
        <w:rPr>
          <w:rFonts w:cs="CMBX12"/>
        </w:rPr>
        <w:t>.,</w:t>
      </w:r>
      <w:proofErr w:type="gramEnd"/>
      <w:r w:rsidR="001A098F" w:rsidRPr="001A098F">
        <w:rPr>
          <w:rFonts w:cs="CMBX12"/>
        </w:rPr>
        <w:t xml:space="preserve"> CC BY-SA 3.0, </w:t>
      </w:r>
      <w:hyperlink r:id="rId57" w:history="1">
        <w:r w:rsidR="005366E7" w:rsidRPr="008A2444">
          <w:rPr>
            <w:rStyle w:val="Lienhypertexte"/>
            <w:rFonts w:cs="CMBX12"/>
          </w:rPr>
          <w:t>https://commons.wikimedia.org/w/index.php?curid=4406997</w:t>
        </w:r>
      </w:hyperlink>
    </w:p>
    <w:p w:rsidR="00CE519D" w:rsidRDefault="00CE519D" w:rsidP="00767C5F">
      <w:pPr>
        <w:autoSpaceDE w:val="0"/>
        <w:autoSpaceDN w:val="0"/>
        <w:adjustRightInd w:val="0"/>
        <w:spacing w:before="60" w:after="60" w:line="240" w:lineRule="auto"/>
        <w:jc w:val="left"/>
      </w:pPr>
      <w:r w:rsidRPr="00CE519D">
        <w:rPr>
          <w:rFonts w:cs="CMR10"/>
        </w:rPr>
        <w:t xml:space="preserve">[3]: </w:t>
      </w:r>
      <w:hyperlink r:id="rId58" w:history="1">
        <w:r w:rsidR="005366E7" w:rsidRPr="008A2444">
          <w:rPr>
            <w:rStyle w:val="Lienhypertexte"/>
          </w:rPr>
          <w:t>https://fra.archinform.net</w:t>
        </w:r>
      </w:hyperlink>
    </w:p>
    <w:p w:rsidR="00D87554" w:rsidRDefault="00D87554" w:rsidP="00D87554">
      <w:pPr>
        <w:spacing w:before="60" w:after="60"/>
        <w:jc w:val="left"/>
        <w:rPr>
          <w:rFonts w:cs="CMR10"/>
        </w:rPr>
      </w:pPr>
      <w:r>
        <w:rPr>
          <w:rFonts w:cs="CMR10"/>
        </w:rPr>
        <w:t xml:space="preserve">[4]: Conception et construction des arcs, A. Antonelli, C. </w:t>
      </w:r>
      <w:proofErr w:type="spellStart"/>
      <w:r>
        <w:rPr>
          <w:rFonts w:cs="CMR10"/>
        </w:rPr>
        <w:t>Desodt</w:t>
      </w:r>
      <w:proofErr w:type="spellEnd"/>
      <w:r>
        <w:rPr>
          <w:rFonts w:cs="CMR10"/>
        </w:rPr>
        <w:t>, H. Horsin Molinaro, ressource Culture Sciences de l’Ingénieur,</w:t>
      </w:r>
      <w:r w:rsidRPr="00A054BD">
        <w:rPr>
          <w:rFonts w:cs="CMR10"/>
        </w:rPr>
        <w:t xml:space="preserve"> </w:t>
      </w:r>
      <w:hyperlink r:id="rId59" w:history="1">
        <w:r w:rsidRPr="006F3CAC">
          <w:rPr>
            <w:rStyle w:val="Lienhypertexte"/>
            <w:rFonts w:cs="CMR10"/>
          </w:rPr>
          <w:t>http://eduscol.education.fr/sti/si-ens-cachan/ressources_pedagogiques/conception-et-construction-des-arcs</w:t>
        </w:r>
      </w:hyperlink>
    </w:p>
    <w:p w:rsidR="00D87554" w:rsidRDefault="00D87554" w:rsidP="00D87554">
      <w:pPr>
        <w:spacing w:before="60" w:after="60"/>
        <w:jc w:val="left"/>
      </w:pPr>
      <w:r>
        <w:t xml:space="preserve">[5]: Etude du renforcement d’un pont mixte, C. </w:t>
      </w:r>
      <w:proofErr w:type="spellStart"/>
      <w:r>
        <w:t>Desodt</w:t>
      </w:r>
      <w:proofErr w:type="spellEnd"/>
      <w:r>
        <w:t xml:space="preserve">, H. Horsin Molinaro, H. </w:t>
      </w:r>
      <w:proofErr w:type="spellStart"/>
      <w:r>
        <w:t>Rattez</w:t>
      </w:r>
      <w:proofErr w:type="spellEnd"/>
      <w:r>
        <w:t xml:space="preserve">, ressource Culture Sciences de l’Ingénieur, </w:t>
      </w:r>
      <w:hyperlink r:id="rId60" w:history="1">
        <w:r w:rsidRPr="006F3CAC">
          <w:rPr>
            <w:rStyle w:val="Lienhypertexte"/>
            <w:rFonts w:cs="CMR10"/>
          </w:rPr>
          <w:t>http://eduscol.education.fr/sti/si-ens-paris-saclay/ressources_pedagogiques/etude-du-renforcement-dun-pont-mixte</w:t>
        </w:r>
      </w:hyperlink>
    </w:p>
    <w:p w:rsidR="00D87554" w:rsidRDefault="00D87554" w:rsidP="00D87554">
      <w:pPr>
        <w:spacing w:before="60" w:after="60"/>
        <w:rPr>
          <w:rFonts w:cs="CMR10"/>
        </w:rPr>
      </w:pPr>
      <w:r>
        <w:rPr>
          <w:rFonts w:cs="CMR10"/>
        </w:rPr>
        <w:t>[6]:</w:t>
      </w:r>
      <w:r w:rsidRPr="009D3656">
        <w:t xml:space="preserve"> </w:t>
      </w:r>
      <w:hyperlink r:id="rId61" w:history="1">
        <w:r w:rsidRPr="000D4560">
          <w:rPr>
            <w:rStyle w:val="Lienhypertexte"/>
          </w:rPr>
          <w:t>https://espritdepays.com/bonus/glossaire-architecture-religieuse</w:t>
        </w:r>
      </w:hyperlink>
    </w:p>
    <w:p w:rsidR="00D87554" w:rsidRDefault="00D87554" w:rsidP="00D87554">
      <w:pPr>
        <w:spacing w:before="60" w:after="60"/>
        <w:jc w:val="left"/>
      </w:pPr>
      <w:r>
        <w:t xml:space="preserve">[7]: </w:t>
      </w:r>
      <w:r w:rsidRPr="00481D71">
        <w:t xml:space="preserve">GIRAUD Patrick (user </w:t>
      </w:r>
      <w:proofErr w:type="spellStart"/>
      <w:r w:rsidRPr="00481D71">
        <w:t>Calips</w:t>
      </w:r>
      <w:proofErr w:type="spellEnd"/>
      <w:r w:rsidRPr="00481D71">
        <w:t xml:space="preserve">) — Travail personnel, CC BY-SA 3.0, </w:t>
      </w:r>
      <w:hyperlink r:id="rId62" w:history="1">
        <w:r w:rsidRPr="006F3CAC">
          <w:rPr>
            <w:rStyle w:val="Lienhypertexte"/>
            <w:rFonts w:cs="CMR10"/>
          </w:rPr>
          <w:t>https://commons.wikimedia.org/w/index.php?curid=601665</w:t>
        </w:r>
      </w:hyperlink>
    </w:p>
    <w:p w:rsidR="00D87554" w:rsidRDefault="00D87554" w:rsidP="00D87554">
      <w:pPr>
        <w:spacing w:before="60" w:after="60"/>
      </w:pPr>
      <w:r>
        <w:t xml:space="preserve">[8]: </w:t>
      </w:r>
      <w:hyperlink r:id="rId63" w:history="1">
        <w:r w:rsidRPr="007D24DF">
          <w:rPr>
            <w:rStyle w:val="Lienhypertexte"/>
          </w:rPr>
          <w:t>http://www.bluhmpartner.com/de/experts/projects/sinntal-bridge</w:t>
        </w:r>
      </w:hyperlink>
    </w:p>
    <w:p w:rsidR="00D87554" w:rsidRDefault="00D87554" w:rsidP="00D87554">
      <w:pPr>
        <w:spacing w:before="60" w:after="60"/>
        <w:jc w:val="left"/>
      </w:pPr>
      <w:r>
        <w:t xml:space="preserve">[9]: </w:t>
      </w:r>
      <w:r w:rsidRPr="00137A84">
        <w:t xml:space="preserve">Original </w:t>
      </w:r>
      <w:proofErr w:type="spellStart"/>
      <w:r w:rsidRPr="00137A84">
        <w:t>téléversé</w:t>
      </w:r>
      <w:proofErr w:type="spellEnd"/>
      <w:r w:rsidRPr="00137A84">
        <w:t xml:space="preserve"> par Pep.per sur </w:t>
      </w:r>
      <w:proofErr w:type="spellStart"/>
      <w:r w:rsidRPr="00137A84">
        <w:t>Wikipédia</w:t>
      </w:r>
      <w:proofErr w:type="spellEnd"/>
      <w:r w:rsidRPr="00137A84">
        <w:t xml:space="preserve"> français. — Transféré de </w:t>
      </w:r>
      <w:proofErr w:type="spellStart"/>
      <w:r w:rsidRPr="00137A84">
        <w:t>fr.wikipedia</w:t>
      </w:r>
      <w:proofErr w:type="spellEnd"/>
      <w:r w:rsidRPr="00137A84">
        <w:t xml:space="preserve"> à Commons par Korrigan utilisant </w:t>
      </w:r>
      <w:proofErr w:type="spellStart"/>
      <w:r w:rsidRPr="00137A84">
        <w:t>CommonsHelper</w:t>
      </w:r>
      <w:proofErr w:type="spellEnd"/>
      <w:r w:rsidRPr="00137A84">
        <w:t xml:space="preserve">., CC BY-SA 1.0, </w:t>
      </w:r>
      <w:hyperlink r:id="rId64" w:history="1">
        <w:r w:rsidRPr="006F3CAC">
          <w:rPr>
            <w:rStyle w:val="Lienhypertexte"/>
          </w:rPr>
          <w:t>https://commons.wikimedia.org/w/index.php?curid=4812831</w:t>
        </w:r>
      </w:hyperlink>
    </w:p>
    <w:p w:rsidR="00D87554" w:rsidRDefault="00D87554" w:rsidP="00D87554">
      <w:pPr>
        <w:spacing w:before="60" w:after="60"/>
        <w:jc w:val="left"/>
      </w:pPr>
      <w:r>
        <w:t xml:space="preserve">[10]: </w:t>
      </w:r>
      <w:proofErr w:type="spellStart"/>
      <w:r w:rsidRPr="003C3401">
        <w:t>Glabb</w:t>
      </w:r>
      <w:proofErr w:type="spellEnd"/>
      <w:r w:rsidRPr="003C3401">
        <w:t xml:space="preserve"> — Travail personnel, CC BY-SA 3.0, </w:t>
      </w:r>
      <w:hyperlink r:id="rId65" w:history="1">
        <w:r w:rsidRPr="006F3CAC">
          <w:rPr>
            <w:rStyle w:val="Lienhypertexte"/>
          </w:rPr>
          <w:t>https://commons.wikimedia.org/w/index.php?curid=9477522</w:t>
        </w:r>
      </w:hyperlink>
    </w:p>
    <w:p w:rsidR="00D87554" w:rsidRDefault="00D87554" w:rsidP="00D87554">
      <w:pPr>
        <w:spacing w:before="60" w:after="60"/>
      </w:pPr>
      <w:r>
        <w:t xml:space="preserve">[11]: </w:t>
      </w:r>
      <w:proofErr w:type="spellStart"/>
      <w:r>
        <w:t>Nemodus</w:t>
      </w:r>
      <w:proofErr w:type="spellEnd"/>
      <w:r>
        <w:t xml:space="preserve"> photos, </w:t>
      </w:r>
      <w:proofErr w:type="spellStart"/>
      <w:r>
        <w:t>Flickr</w:t>
      </w:r>
      <w:proofErr w:type="spellEnd"/>
      <w:r>
        <w:t>, CC by-</w:t>
      </w:r>
      <w:proofErr w:type="spellStart"/>
      <w:r>
        <w:t>nc</w:t>
      </w:r>
      <w:proofErr w:type="spellEnd"/>
      <w:r>
        <w:t>-</w:t>
      </w:r>
      <w:proofErr w:type="spellStart"/>
      <w:r>
        <w:t>nd</w:t>
      </w:r>
      <w:proofErr w:type="spellEnd"/>
      <w:r>
        <w:t xml:space="preserve"> 2.0, </w:t>
      </w:r>
      <w:hyperlink r:id="rId66" w:history="1">
        <w:r w:rsidRPr="006F3CAC">
          <w:rPr>
            <w:rStyle w:val="Lienhypertexte"/>
          </w:rPr>
          <w:t>https://www.futura-sciences.com/</w:t>
        </w:r>
      </w:hyperlink>
    </w:p>
    <w:p w:rsidR="00D87554" w:rsidRDefault="00D87554" w:rsidP="00D87554">
      <w:pPr>
        <w:spacing w:before="60" w:after="60"/>
        <w:jc w:val="left"/>
      </w:pPr>
      <w:r>
        <w:rPr>
          <w:rFonts w:cs="CMR10"/>
        </w:rPr>
        <w:t>[12]:</w:t>
      </w:r>
      <w:r w:rsidRPr="00FE6003">
        <w:t xml:space="preserve"> </w:t>
      </w:r>
      <w:r>
        <w:t xml:space="preserve">Ponts en acier, conception et dimensionnement des ponts métalliques et mixtes acier-béton, Jean-Paul </w:t>
      </w:r>
      <w:proofErr w:type="spellStart"/>
      <w:r>
        <w:t>Lebet</w:t>
      </w:r>
      <w:proofErr w:type="spellEnd"/>
      <w:r>
        <w:t xml:space="preserve"> et Manfred A. Hirt, EPFL</w:t>
      </w:r>
    </w:p>
    <w:p w:rsidR="00CE519D" w:rsidRDefault="00CE519D" w:rsidP="00D87554">
      <w:pPr>
        <w:autoSpaceDE w:val="0"/>
        <w:autoSpaceDN w:val="0"/>
        <w:adjustRightInd w:val="0"/>
        <w:spacing w:before="60" w:after="60" w:line="240" w:lineRule="auto"/>
        <w:jc w:val="left"/>
        <w:rPr>
          <w:rFonts w:cs="Arial"/>
          <w:color w:val="4F271C" w:themeColor="text2"/>
        </w:rPr>
      </w:pPr>
      <w:r w:rsidRPr="00CE519D">
        <w:rPr>
          <w:rFonts w:cs="Arial"/>
        </w:rPr>
        <w:t>[</w:t>
      </w:r>
      <w:r w:rsidR="00D87554">
        <w:rPr>
          <w:rFonts w:cs="Arial"/>
        </w:rPr>
        <w:t>13</w:t>
      </w:r>
      <w:r w:rsidRPr="00CE519D">
        <w:rPr>
          <w:rFonts w:cs="Arial"/>
        </w:rPr>
        <w:t>]:</w:t>
      </w:r>
      <w:r w:rsidRPr="006F7059">
        <w:rPr>
          <w:rFonts w:cs="Arial"/>
          <w:color w:val="4F271C" w:themeColor="text2"/>
        </w:rPr>
        <w:t xml:space="preserve"> </w:t>
      </w:r>
      <w:proofErr w:type="spellStart"/>
      <w:r w:rsidR="003F620F" w:rsidRPr="003F620F">
        <w:rPr>
          <w:rFonts w:cs="Arial"/>
          <w:color w:val="4F271C" w:themeColor="text2"/>
        </w:rPr>
        <w:t>Personal</w:t>
      </w:r>
      <w:proofErr w:type="spellEnd"/>
      <w:r w:rsidR="003F620F" w:rsidRPr="003F620F">
        <w:rPr>
          <w:rFonts w:cs="Arial"/>
          <w:color w:val="4F271C" w:themeColor="text2"/>
        </w:rPr>
        <w:t xml:space="preserve"> </w:t>
      </w:r>
      <w:proofErr w:type="spellStart"/>
      <w:r w:rsidR="003F620F" w:rsidRPr="003F620F">
        <w:rPr>
          <w:rFonts w:cs="Arial"/>
          <w:color w:val="4F271C" w:themeColor="text2"/>
        </w:rPr>
        <w:t>Photograph</w:t>
      </w:r>
      <w:proofErr w:type="spellEnd"/>
      <w:r w:rsidR="003F620F" w:rsidRPr="003F620F">
        <w:rPr>
          <w:rFonts w:cs="Arial"/>
          <w:color w:val="4F271C" w:themeColor="text2"/>
        </w:rPr>
        <w:t xml:space="preserve"> </w:t>
      </w:r>
      <w:proofErr w:type="spellStart"/>
      <w:r w:rsidR="003F620F" w:rsidRPr="003F620F">
        <w:rPr>
          <w:rFonts w:cs="Arial"/>
          <w:color w:val="4F271C" w:themeColor="text2"/>
        </w:rPr>
        <w:t>taken</w:t>
      </w:r>
      <w:proofErr w:type="spellEnd"/>
      <w:r w:rsidR="003F620F" w:rsidRPr="003F620F">
        <w:rPr>
          <w:rFonts w:cs="Arial"/>
          <w:color w:val="4F271C" w:themeColor="text2"/>
        </w:rPr>
        <w:t xml:space="preserve"> by Mick </w:t>
      </w:r>
      <w:proofErr w:type="spellStart"/>
      <w:r w:rsidR="003F620F" w:rsidRPr="003F620F">
        <w:rPr>
          <w:rFonts w:cs="Arial"/>
          <w:color w:val="4F271C" w:themeColor="text2"/>
        </w:rPr>
        <w:t>KnaptonTransféré</w:t>
      </w:r>
      <w:proofErr w:type="spellEnd"/>
      <w:r w:rsidR="003F620F" w:rsidRPr="003F620F">
        <w:rPr>
          <w:rFonts w:cs="Arial"/>
          <w:color w:val="4F271C" w:themeColor="text2"/>
        </w:rPr>
        <w:t xml:space="preserve"> de </w:t>
      </w:r>
      <w:proofErr w:type="spellStart"/>
      <w:r w:rsidR="003F620F" w:rsidRPr="003F620F">
        <w:rPr>
          <w:rFonts w:cs="Arial"/>
          <w:color w:val="4F271C" w:themeColor="text2"/>
        </w:rPr>
        <w:t>en.wikipedia</w:t>
      </w:r>
      <w:proofErr w:type="spellEnd"/>
      <w:r w:rsidR="003F620F" w:rsidRPr="003F620F">
        <w:rPr>
          <w:rFonts w:cs="Arial"/>
          <w:color w:val="4F271C" w:themeColor="text2"/>
        </w:rPr>
        <w:t xml:space="preserve"> à Commons par </w:t>
      </w:r>
      <w:proofErr w:type="spellStart"/>
      <w:proofErr w:type="gramStart"/>
      <w:r w:rsidR="003F620F" w:rsidRPr="003F620F">
        <w:rPr>
          <w:rFonts w:cs="Arial"/>
          <w:color w:val="4F271C" w:themeColor="text2"/>
        </w:rPr>
        <w:t>sevela.p.</w:t>
      </w:r>
      <w:proofErr w:type="spellEnd"/>
      <w:r w:rsidR="003F620F" w:rsidRPr="003F620F">
        <w:rPr>
          <w:rFonts w:cs="Arial"/>
          <w:color w:val="4F271C" w:themeColor="text2"/>
        </w:rPr>
        <w:t>,</w:t>
      </w:r>
      <w:proofErr w:type="gramEnd"/>
      <w:r w:rsidR="003F620F" w:rsidRPr="003F620F">
        <w:rPr>
          <w:rFonts w:cs="Arial"/>
          <w:color w:val="4F271C" w:themeColor="text2"/>
        </w:rPr>
        <w:t xml:space="preserve"> CC BY-SA 3.0, </w:t>
      </w:r>
      <w:hyperlink r:id="rId67" w:history="1">
        <w:r w:rsidR="002E60D3" w:rsidRPr="008A2444">
          <w:rPr>
            <w:rStyle w:val="Lienhypertexte"/>
            <w:rFonts w:cs="Arial"/>
          </w:rPr>
          <w:t>https://commons.wikimedia.org/w/index.php?curid=3688577</w:t>
        </w:r>
      </w:hyperlink>
    </w:p>
    <w:p w:rsidR="00341544" w:rsidRDefault="00CE519D" w:rsidP="00767C5F">
      <w:pPr>
        <w:spacing w:before="60" w:after="60"/>
      </w:pPr>
      <w:r w:rsidRPr="00CE519D">
        <w:rPr>
          <w:rFonts w:cs="Arial"/>
          <w:color w:val="263033"/>
        </w:rPr>
        <w:t>[</w:t>
      </w:r>
      <w:r w:rsidR="00D87554">
        <w:rPr>
          <w:rFonts w:cs="Arial"/>
          <w:color w:val="263033"/>
        </w:rPr>
        <w:t>14</w:t>
      </w:r>
      <w:r w:rsidRPr="00CE519D">
        <w:rPr>
          <w:rFonts w:cs="Arial"/>
          <w:color w:val="263033"/>
        </w:rPr>
        <w:t xml:space="preserve">]: </w:t>
      </w:r>
      <w:hyperlink r:id="rId68" w:history="1">
        <w:r w:rsidR="00341544" w:rsidRPr="008A2444">
          <w:rPr>
            <w:rStyle w:val="Lienhypertexte"/>
          </w:rPr>
          <w:t>http://www.art-et-histoire.com</w:t>
        </w:r>
      </w:hyperlink>
    </w:p>
    <w:p w:rsidR="00CE519D" w:rsidRDefault="00CE519D" w:rsidP="00767C5F">
      <w:pPr>
        <w:autoSpaceDE w:val="0"/>
        <w:autoSpaceDN w:val="0"/>
        <w:adjustRightInd w:val="0"/>
        <w:spacing w:before="60" w:after="60" w:line="240" w:lineRule="auto"/>
        <w:jc w:val="left"/>
        <w:rPr>
          <w:rFonts w:cs="CMR10"/>
        </w:rPr>
      </w:pPr>
      <w:r w:rsidRPr="00CE519D">
        <w:rPr>
          <w:rFonts w:cs="CMR10"/>
        </w:rPr>
        <w:t>[</w:t>
      </w:r>
      <w:r w:rsidR="00D87554">
        <w:rPr>
          <w:rFonts w:cs="CMR10"/>
        </w:rPr>
        <w:t>15</w:t>
      </w:r>
      <w:r w:rsidRPr="00CE519D">
        <w:rPr>
          <w:rFonts w:cs="CMR10"/>
        </w:rPr>
        <w:t xml:space="preserve">]: </w:t>
      </w:r>
      <w:r w:rsidR="00DA0975" w:rsidRPr="00DA0975">
        <w:rPr>
          <w:rFonts w:cs="CMR10"/>
        </w:rPr>
        <w:t xml:space="preserve">Bruno </w:t>
      </w:r>
      <w:proofErr w:type="spellStart"/>
      <w:r w:rsidR="00DA0975" w:rsidRPr="00DA0975">
        <w:rPr>
          <w:rFonts w:cs="CMR10"/>
        </w:rPr>
        <w:t>Corpet</w:t>
      </w:r>
      <w:proofErr w:type="spellEnd"/>
      <w:r w:rsidR="00DA0975" w:rsidRPr="00DA0975">
        <w:rPr>
          <w:rFonts w:cs="CMR10"/>
        </w:rPr>
        <w:t xml:space="preserve"> (Quoique) — Travail personnel, CC BY-SA 3.0, </w:t>
      </w:r>
      <w:hyperlink r:id="rId69" w:history="1">
        <w:r w:rsidR="00DA0975" w:rsidRPr="006F3CAC">
          <w:rPr>
            <w:rStyle w:val="Lienhypertexte"/>
            <w:rFonts w:cs="CMR10"/>
          </w:rPr>
          <w:t>https://commons.wikimedia.org/w/index.php?curid=11809570</w:t>
        </w:r>
      </w:hyperlink>
    </w:p>
    <w:p w:rsidR="00CE519D" w:rsidRDefault="00D87554" w:rsidP="00767C5F">
      <w:pPr>
        <w:autoSpaceDE w:val="0"/>
        <w:autoSpaceDN w:val="0"/>
        <w:adjustRightInd w:val="0"/>
        <w:spacing w:before="60" w:after="60" w:line="240" w:lineRule="auto"/>
        <w:jc w:val="left"/>
      </w:pPr>
      <w:r>
        <w:rPr>
          <w:rFonts w:cs="CMR10"/>
        </w:rPr>
        <w:t>[16</w:t>
      </w:r>
      <w:r w:rsidR="00A65FCA">
        <w:rPr>
          <w:rFonts w:cs="CMR10"/>
        </w:rPr>
        <w:t xml:space="preserve">]: </w:t>
      </w:r>
      <w:hyperlink r:id="rId70" w:history="1">
        <w:r w:rsidR="00A65FCA" w:rsidRPr="006F3CAC">
          <w:rPr>
            <w:rStyle w:val="Lienhypertexte"/>
          </w:rPr>
          <w:t>https://www.youtube.com/watch?v=uhWQ5zr5_xc</w:t>
        </w:r>
      </w:hyperlink>
    </w:p>
    <w:p w:rsidR="00A65FCA" w:rsidRDefault="009E44D1" w:rsidP="00767C5F">
      <w:pPr>
        <w:autoSpaceDE w:val="0"/>
        <w:autoSpaceDN w:val="0"/>
        <w:adjustRightInd w:val="0"/>
        <w:spacing w:before="60" w:after="60" w:line="240" w:lineRule="auto"/>
        <w:jc w:val="left"/>
        <w:rPr>
          <w:rFonts w:cs="CMR10"/>
        </w:rPr>
      </w:pPr>
      <w:r>
        <w:rPr>
          <w:rFonts w:cs="CMR10"/>
        </w:rPr>
        <w:t>[</w:t>
      </w:r>
      <w:r w:rsidR="00D87554">
        <w:rPr>
          <w:rFonts w:cs="CMR10"/>
        </w:rPr>
        <w:t>17</w:t>
      </w:r>
      <w:r>
        <w:rPr>
          <w:rFonts w:cs="CMR10"/>
        </w:rPr>
        <w:t xml:space="preserve">]: </w:t>
      </w:r>
      <w:r w:rsidRPr="009E44D1">
        <w:rPr>
          <w:rFonts w:cs="CMR10"/>
        </w:rPr>
        <w:t xml:space="preserve">Nicholas </w:t>
      </w:r>
      <w:proofErr w:type="spellStart"/>
      <w:r w:rsidRPr="009E44D1">
        <w:rPr>
          <w:rFonts w:cs="CMR10"/>
        </w:rPr>
        <w:t>Mutton</w:t>
      </w:r>
      <w:proofErr w:type="spellEnd"/>
      <w:r w:rsidRPr="009E44D1">
        <w:rPr>
          <w:rFonts w:cs="CMR10"/>
        </w:rPr>
        <w:t xml:space="preserve">, CC BY-SA 2.0, </w:t>
      </w:r>
      <w:hyperlink r:id="rId71" w:history="1">
        <w:r w:rsidRPr="006F3CAC">
          <w:rPr>
            <w:rStyle w:val="Lienhypertexte"/>
            <w:rFonts w:cs="CMR10"/>
          </w:rPr>
          <w:t>https://commons.wikimedia.org/w/index.php?curid=14476634</w:t>
        </w:r>
      </w:hyperlink>
    </w:p>
    <w:p w:rsidR="00D87554" w:rsidRDefault="00D87554" w:rsidP="00D87554">
      <w:pPr>
        <w:spacing w:before="60" w:after="60"/>
      </w:pPr>
      <w:r>
        <w:t xml:space="preserve">[18]: </w:t>
      </w:r>
      <w:hyperlink r:id="rId72" w:history="1">
        <w:r w:rsidRPr="006F3CAC">
          <w:rPr>
            <w:rStyle w:val="Lienhypertexte"/>
          </w:rPr>
          <w:t>http://goldengate.org/</w:t>
        </w:r>
      </w:hyperlink>
    </w:p>
    <w:p w:rsidR="001B3B3C" w:rsidRDefault="001B3B3C" w:rsidP="00D87554">
      <w:pPr>
        <w:spacing w:before="60" w:after="60"/>
      </w:pPr>
      <w:r>
        <w:rPr>
          <w:rFonts w:cs="CMR10"/>
        </w:rPr>
        <w:t>[</w:t>
      </w:r>
      <w:r w:rsidR="00D87554">
        <w:rPr>
          <w:rFonts w:cs="CMR10"/>
        </w:rPr>
        <w:t>1</w:t>
      </w:r>
      <w:r w:rsidR="00DD3BAB">
        <w:rPr>
          <w:rFonts w:cs="CMR10"/>
        </w:rPr>
        <w:t>9</w:t>
      </w:r>
      <w:r>
        <w:rPr>
          <w:rFonts w:cs="CMR10"/>
        </w:rPr>
        <w:t>]:</w:t>
      </w:r>
      <w:r w:rsidRPr="001B3B3C">
        <w:t xml:space="preserve"> </w:t>
      </w:r>
      <w:r>
        <w:t xml:space="preserve">photo de R. </w:t>
      </w:r>
      <w:proofErr w:type="spellStart"/>
      <w:r>
        <w:t>Niewiroski</w:t>
      </w:r>
      <w:proofErr w:type="spellEnd"/>
      <w:r>
        <w:t xml:space="preserve"> Jr.</w:t>
      </w:r>
      <w:r w:rsidR="00DD3BAB">
        <w:t xml:space="preserve">, </w:t>
      </w:r>
      <w:hyperlink r:id="rId73" w:history="1">
        <w:r w:rsidR="00DD3BAB" w:rsidRPr="006F3CAC">
          <w:rPr>
            <w:rStyle w:val="Lienhypertexte"/>
          </w:rPr>
          <w:t>http://www.meteo-paris.com</w:t>
        </w:r>
      </w:hyperlink>
    </w:p>
    <w:p w:rsidR="008634D9" w:rsidRDefault="008634D9" w:rsidP="00767C5F">
      <w:pPr>
        <w:spacing w:before="60" w:after="60"/>
        <w:jc w:val="left"/>
      </w:pPr>
      <w:r>
        <w:rPr>
          <w:rFonts w:cs="CMR10"/>
        </w:rPr>
        <w:t>[20]:</w:t>
      </w:r>
      <w:r w:rsidRPr="00FE6003">
        <w:t xml:space="preserve"> </w:t>
      </w:r>
      <w:proofErr w:type="spellStart"/>
      <w:r w:rsidRPr="008634D9">
        <w:t>Roulex</w:t>
      </w:r>
      <w:proofErr w:type="spellEnd"/>
      <w:r w:rsidRPr="008634D9">
        <w:t xml:space="preserve"> 45 — Travail personnel, CC BY-SA 3.0, </w:t>
      </w:r>
      <w:hyperlink r:id="rId74" w:history="1">
        <w:r w:rsidRPr="00D633F7">
          <w:rPr>
            <w:rStyle w:val="Lienhypertexte"/>
          </w:rPr>
          <w:t>https://commons.wikimedia.org/w/index.php?curid=4216116</w:t>
        </w:r>
      </w:hyperlink>
    </w:p>
    <w:p w:rsidR="008634D9" w:rsidRDefault="00387403" w:rsidP="00767C5F">
      <w:pPr>
        <w:spacing w:before="60" w:after="60"/>
        <w:jc w:val="left"/>
      </w:pPr>
      <w:r>
        <w:rPr>
          <w:rFonts w:cs="CMR10"/>
        </w:rPr>
        <w:t>[21]:</w:t>
      </w:r>
      <w:r w:rsidRPr="00FE6003">
        <w:t xml:space="preserve"> </w:t>
      </w:r>
      <w:r>
        <w:t xml:space="preserve">The </w:t>
      </w:r>
      <w:proofErr w:type="spellStart"/>
      <w:r>
        <w:t>study</w:t>
      </w:r>
      <w:proofErr w:type="spellEnd"/>
      <w:r>
        <w:t xml:space="preserve"> on San Francisco golden </w:t>
      </w:r>
      <w:proofErr w:type="spellStart"/>
      <w:r>
        <w:t>gate</w:t>
      </w:r>
      <w:proofErr w:type="spellEnd"/>
      <w:r>
        <w:t xml:space="preserve"> bridge, Kei Fung </w:t>
      </w:r>
      <w:proofErr w:type="spellStart"/>
      <w:r>
        <w:t>Sameul</w:t>
      </w:r>
      <w:proofErr w:type="spellEnd"/>
      <w:r>
        <w:t xml:space="preserve">, Kwan, </w:t>
      </w:r>
      <w:proofErr w:type="spellStart"/>
      <w:r>
        <w:t>University</w:t>
      </w:r>
      <w:proofErr w:type="spellEnd"/>
      <w:r>
        <w:t xml:space="preserve"> of Bath</w:t>
      </w:r>
      <w:r w:rsidR="00DA1E68">
        <w:t xml:space="preserve">, </w:t>
      </w:r>
      <w:r w:rsidR="00DA1E68" w:rsidRPr="00DA1E68">
        <w:rPr>
          <w:rFonts w:ascii="Trebuchet MS" w:hAnsi="Trebuchet MS" w:cs="TTE1DCEB88t00"/>
        </w:rPr>
        <w:t xml:space="preserve">Architecture and Civil Engineering </w:t>
      </w:r>
      <w:proofErr w:type="spellStart"/>
      <w:r w:rsidR="00DA1E68" w:rsidRPr="00DA1E68">
        <w:rPr>
          <w:rFonts w:ascii="Trebuchet MS" w:hAnsi="Trebuchet MS" w:cs="TTE1DCEB88t00"/>
        </w:rPr>
        <w:t>Department</w:t>
      </w:r>
      <w:proofErr w:type="spellEnd"/>
    </w:p>
    <w:p w:rsidR="009D3656" w:rsidRDefault="00A465CA" w:rsidP="00767C5F">
      <w:pPr>
        <w:spacing w:before="60" w:after="60"/>
      </w:pPr>
      <w:r>
        <w:t xml:space="preserve">[22]: </w:t>
      </w:r>
      <w:hyperlink r:id="rId75" w:history="1">
        <w:r w:rsidR="003102B0" w:rsidRPr="007D24DF">
          <w:rPr>
            <w:rStyle w:val="Lienhypertexte"/>
          </w:rPr>
          <w:t>http://www.ulb.ac.be/soco/matsch/recherche/12/ponts/ponts.htm</w:t>
        </w:r>
      </w:hyperlink>
    </w:p>
    <w:p w:rsidR="00171B18" w:rsidRDefault="00A465CA" w:rsidP="00767C5F">
      <w:pPr>
        <w:spacing w:before="60" w:after="60"/>
        <w:jc w:val="left"/>
      </w:pPr>
      <w:r>
        <w:t>[23]:</w:t>
      </w:r>
      <w:r w:rsidR="0059667E">
        <w:t xml:space="preserve"> </w:t>
      </w:r>
      <w:proofErr w:type="spellStart"/>
      <w:r w:rsidR="00171B18" w:rsidRPr="00171B18">
        <w:t>Calibas</w:t>
      </w:r>
      <w:proofErr w:type="spellEnd"/>
      <w:r w:rsidR="00171B18" w:rsidRPr="00171B18">
        <w:t xml:space="preserve"> — Travail personnel, CC BY-SA 4.0, </w:t>
      </w:r>
      <w:hyperlink r:id="rId76" w:history="1">
        <w:r w:rsidR="00171B18" w:rsidRPr="00D633F7">
          <w:rPr>
            <w:rStyle w:val="Lienhypertexte"/>
            <w:rFonts w:cs="CMR10"/>
          </w:rPr>
          <w:t>https://commons.wikimedia.org/w/index.php?curid=3148088</w:t>
        </w:r>
      </w:hyperlink>
    </w:p>
    <w:p w:rsidR="00481D71" w:rsidRDefault="00171B18" w:rsidP="00767C5F">
      <w:pPr>
        <w:spacing w:before="60" w:after="60"/>
      </w:pPr>
      <w:r>
        <w:t xml:space="preserve">[24]: </w:t>
      </w:r>
      <w:hyperlink r:id="rId77" w:history="1">
        <w:r w:rsidR="00E90977" w:rsidRPr="00D633F7">
          <w:rPr>
            <w:rStyle w:val="Lienhypertexte"/>
          </w:rPr>
          <w:t>https://frenchdistrict.com/</w:t>
        </w:r>
      </w:hyperlink>
    </w:p>
    <w:p w:rsidR="00D301B4" w:rsidRDefault="00D301B4" w:rsidP="00767C5F">
      <w:pPr>
        <w:spacing w:before="60" w:after="60"/>
      </w:pPr>
      <w:r>
        <w:t>[2</w:t>
      </w:r>
      <w:r w:rsidR="00171B18">
        <w:t>5</w:t>
      </w:r>
      <w:r>
        <w:t xml:space="preserve">]: </w:t>
      </w:r>
      <w:hyperlink r:id="rId78" w:history="1">
        <w:r w:rsidRPr="00D633F7">
          <w:rPr>
            <w:rStyle w:val="Lienhypertexte"/>
          </w:rPr>
          <w:t>https://www.hdrinc.com</w:t>
        </w:r>
      </w:hyperlink>
    </w:p>
    <w:p w:rsidR="00D301B4" w:rsidRDefault="00980BEB" w:rsidP="00767C5F">
      <w:pPr>
        <w:spacing w:before="60" w:after="60"/>
      </w:pPr>
      <w:r>
        <w:t xml:space="preserve">[26]: </w:t>
      </w:r>
      <w:hyperlink r:id="rId79" w:history="1">
        <w:r w:rsidR="008C4D90" w:rsidRPr="00D633F7">
          <w:rPr>
            <w:rStyle w:val="Lienhypertexte"/>
          </w:rPr>
          <w:t>https://www.lepoint.fr</w:t>
        </w:r>
      </w:hyperlink>
    </w:p>
    <w:p w:rsidR="007254BF" w:rsidRDefault="00494FFE" w:rsidP="00767C5F">
      <w:pPr>
        <w:autoSpaceDE w:val="0"/>
        <w:autoSpaceDN w:val="0"/>
        <w:adjustRightInd w:val="0"/>
        <w:spacing w:before="14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80"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649" w:rsidRDefault="00C46649" w:rsidP="00BE51E0">
      <w:pPr>
        <w:spacing w:after="0" w:line="240" w:lineRule="auto"/>
      </w:pPr>
      <w:r>
        <w:separator/>
      </w:r>
    </w:p>
  </w:endnote>
  <w:endnote w:type="continuationSeparator" w:id="0">
    <w:p w:rsidR="00C46649" w:rsidRDefault="00C46649"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MR10">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E1DCEB8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13E" w:rsidRPr="00715E0C" w:rsidRDefault="008104AD" w:rsidP="00715E0C">
    <w:pPr>
      <w:pStyle w:val="Pieddepage"/>
      <w:jc w:val="center"/>
      <w:rPr>
        <w:color w:val="2A6C7D" w:themeColor="accent1" w:themeShade="BF"/>
      </w:rPr>
    </w:pPr>
    <w:r w:rsidRPr="00715E0C">
      <w:rPr>
        <w:color w:val="2A6C7D" w:themeColor="accent1" w:themeShade="BF"/>
      </w:rPr>
      <w:fldChar w:fldCharType="begin"/>
    </w:r>
    <w:r w:rsidR="00EE413E" w:rsidRPr="00715E0C">
      <w:rPr>
        <w:color w:val="2A6C7D" w:themeColor="accent1" w:themeShade="BF"/>
      </w:rPr>
      <w:instrText xml:space="preserve"> PAGE   \* MERGEFORMAT </w:instrText>
    </w:r>
    <w:r w:rsidRPr="00715E0C">
      <w:rPr>
        <w:color w:val="2A6C7D" w:themeColor="accent1" w:themeShade="BF"/>
      </w:rPr>
      <w:fldChar w:fldCharType="separate"/>
    </w:r>
    <w:r w:rsidR="007355FB">
      <w:rPr>
        <w:noProof/>
        <w:color w:val="2A6C7D" w:themeColor="accent1" w:themeShade="BF"/>
      </w:rPr>
      <w:t>18</w:t>
    </w:r>
    <w:r w:rsidRPr="00715E0C">
      <w:rPr>
        <w:color w:val="2A6C7D" w:themeColor="accent1" w:themeShade="BF"/>
      </w:rPr>
      <w:fldChar w:fldCharType="end"/>
    </w:r>
    <w:r w:rsidR="00EE413E"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649" w:rsidRDefault="00C46649" w:rsidP="00BE51E0">
      <w:pPr>
        <w:spacing w:after="0" w:line="240" w:lineRule="auto"/>
      </w:pPr>
      <w:r>
        <w:separator/>
      </w:r>
    </w:p>
  </w:footnote>
  <w:footnote w:type="continuationSeparator" w:id="0">
    <w:p w:rsidR="00C46649" w:rsidRDefault="00C46649" w:rsidP="00BE51E0">
      <w:pPr>
        <w:spacing w:after="0" w:line="240" w:lineRule="auto"/>
      </w:pPr>
      <w:r>
        <w:continuationSeparator/>
      </w:r>
    </w:p>
  </w:footnote>
  <w:footnote w:id="1">
    <w:p w:rsidR="00EE413E" w:rsidRDefault="00EE413E">
      <w:pPr>
        <w:pStyle w:val="Notedebasdepage"/>
      </w:pPr>
      <w:r>
        <w:rPr>
          <w:rStyle w:val="Appelnotedebasdep"/>
        </w:rPr>
        <w:footnoteRef/>
      </w:r>
      <w:r>
        <w:t xml:space="preserve"> </w:t>
      </w:r>
      <w:r w:rsidRPr="00465E34">
        <w:rPr>
          <w:sz w:val="18"/>
          <w:szCs w:val="18"/>
        </w:rPr>
        <w:t xml:space="preserve">Œuvre de </w:t>
      </w:r>
      <w:proofErr w:type="spellStart"/>
      <w:r w:rsidRPr="00465E34">
        <w:rPr>
          <w:sz w:val="18"/>
          <w:szCs w:val="18"/>
        </w:rPr>
        <w:t>Chesley</w:t>
      </w:r>
      <w:proofErr w:type="spellEnd"/>
      <w:r w:rsidRPr="00465E34">
        <w:rPr>
          <w:sz w:val="18"/>
          <w:szCs w:val="18"/>
        </w:rPr>
        <w:t xml:space="preserve"> </w:t>
      </w:r>
      <w:proofErr w:type="spellStart"/>
      <w:r w:rsidRPr="00465E34">
        <w:rPr>
          <w:sz w:val="18"/>
          <w:szCs w:val="18"/>
        </w:rPr>
        <w:t>Bonestell</w:t>
      </w:r>
      <w:proofErr w:type="spellEnd"/>
      <w:r w:rsidRPr="00465E34">
        <w:rPr>
          <w:sz w:val="18"/>
          <w:szCs w:val="18"/>
        </w:rPr>
        <w:t>, artiste ayant participé à la conception des détails architecturaux de plusieurs ouvrages d’</w:t>
      </w:r>
      <w:r>
        <w:rPr>
          <w:sz w:val="18"/>
          <w:szCs w:val="18"/>
        </w:rPr>
        <w:t xml:space="preserve">art </w:t>
      </w:r>
      <w:r w:rsidRPr="00465E34">
        <w:rPr>
          <w:sz w:val="18"/>
          <w:szCs w:val="18"/>
        </w:rPr>
        <w:t xml:space="preserve">dont le Chrysler </w:t>
      </w:r>
      <w:r>
        <w:rPr>
          <w:sz w:val="18"/>
          <w:szCs w:val="18"/>
        </w:rPr>
        <w:t xml:space="preserve">building </w:t>
      </w:r>
      <w:r w:rsidRPr="00465E34">
        <w:rPr>
          <w:sz w:val="18"/>
          <w:szCs w:val="18"/>
        </w:rPr>
        <w:t>de New York</w:t>
      </w:r>
      <w:r>
        <w:rPr>
          <w:sz w:val="18"/>
          <w:szCs w:val="18"/>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03E6"/>
    <w:multiLevelType w:val="hybridMultilevel"/>
    <w:tmpl w:val="89760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A43F60"/>
    <w:multiLevelType w:val="hybridMultilevel"/>
    <w:tmpl w:val="062E5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BC54CC"/>
    <w:multiLevelType w:val="hybridMultilevel"/>
    <w:tmpl w:val="D456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766ABF"/>
    <w:multiLevelType w:val="hybridMultilevel"/>
    <w:tmpl w:val="BC3A99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26886"/>
    <w:multiLevelType w:val="hybridMultilevel"/>
    <w:tmpl w:val="3098A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4854C5D"/>
    <w:multiLevelType w:val="hybridMultilevel"/>
    <w:tmpl w:val="AF365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0138C5"/>
    <w:multiLevelType w:val="hybridMultilevel"/>
    <w:tmpl w:val="E4983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DF5349"/>
    <w:multiLevelType w:val="hybridMultilevel"/>
    <w:tmpl w:val="ACACE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39320D9"/>
    <w:multiLevelType w:val="hybridMultilevel"/>
    <w:tmpl w:val="DF067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99F3010"/>
    <w:multiLevelType w:val="hybridMultilevel"/>
    <w:tmpl w:val="007C0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89725B"/>
    <w:multiLevelType w:val="hybridMultilevel"/>
    <w:tmpl w:val="C2FCC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F1F6D1A"/>
    <w:multiLevelType w:val="hybridMultilevel"/>
    <w:tmpl w:val="1102E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ED5A81"/>
    <w:multiLevelType w:val="hybridMultilevel"/>
    <w:tmpl w:val="BE4AAA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217300B"/>
    <w:multiLevelType w:val="hybridMultilevel"/>
    <w:tmpl w:val="B24EF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2460D5"/>
    <w:multiLevelType w:val="hybridMultilevel"/>
    <w:tmpl w:val="2F6CB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9D26E4"/>
    <w:multiLevelType w:val="hybridMultilevel"/>
    <w:tmpl w:val="5064A5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4"/>
  </w:num>
  <w:num w:numId="4">
    <w:abstractNumId w:val="4"/>
  </w:num>
  <w:num w:numId="5">
    <w:abstractNumId w:val="7"/>
  </w:num>
  <w:num w:numId="6">
    <w:abstractNumId w:val="15"/>
  </w:num>
  <w:num w:numId="7">
    <w:abstractNumId w:val="18"/>
  </w:num>
  <w:num w:numId="8">
    <w:abstractNumId w:val="17"/>
  </w:num>
  <w:num w:numId="9">
    <w:abstractNumId w:val="3"/>
  </w:num>
  <w:num w:numId="10">
    <w:abstractNumId w:val="9"/>
  </w:num>
  <w:num w:numId="11">
    <w:abstractNumId w:val="6"/>
  </w:num>
  <w:num w:numId="12">
    <w:abstractNumId w:val="8"/>
  </w:num>
  <w:num w:numId="13">
    <w:abstractNumId w:val="2"/>
  </w:num>
  <w:num w:numId="14">
    <w:abstractNumId w:val="13"/>
  </w:num>
  <w:num w:numId="15">
    <w:abstractNumId w:val="0"/>
  </w:num>
  <w:num w:numId="16">
    <w:abstractNumId w:val="1"/>
  </w:num>
  <w:num w:numId="17">
    <w:abstractNumId w:val="19"/>
  </w:num>
  <w:num w:numId="18">
    <w:abstractNumId w:val="10"/>
  </w:num>
  <w:num w:numId="19">
    <w:abstractNumId w:val="12"/>
  </w:num>
  <w:num w:numId="20">
    <w:abstractNumId w:val="20"/>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hyphenationZone w:val="425"/>
  <w:drawingGridHorizontalSpacing w:val="110"/>
  <w:displayHorizontalDrawingGridEvery w:val="2"/>
  <w:characterSpacingControl w:val="doNotCompress"/>
  <w:hdrShapeDefaults>
    <o:shapedefaults v:ext="edit" spidmax="211970">
      <o:colormenu v:ext="edit" fillcolor="none" strokecolor="none [3204]"/>
    </o:shapedefaults>
  </w:hdrShapeDefaults>
  <w:footnotePr>
    <w:footnote w:id="-1"/>
    <w:footnote w:id="0"/>
  </w:footnotePr>
  <w:endnotePr>
    <w:endnote w:id="-1"/>
    <w:endnote w:id="0"/>
  </w:endnotePr>
  <w:compat/>
  <w:rsids>
    <w:rsidRoot w:val="00997881"/>
    <w:rsid w:val="000111AE"/>
    <w:rsid w:val="000161BD"/>
    <w:rsid w:val="000230D2"/>
    <w:rsid w:val="00037CA6"/>
    <w:rsid w:val="00043866"/>
    <w:rsid w:val="00045B03"/>
    <w:rsid w:val="0004755A"/>
    <w:rsid w:val="0005659A"/>
    <w:rsid w:val="00061FC5"/>
    <w:rsid w:val="00063F8D"/>
    <w:rsid w:val="00065B90"/>
    <w:rsid w:val="00072553"/>
    <w:rsid w:val="00073A2A"/>
    <w:rsid w:val="00075F99"/>
    <w:rsid w:val="00077E87"/>
    <w:rsid w:val="000940BB"/>
    <w:rsid w:val="000A136F"/>
    <w:rsid w:val="000A379C"/>
    <w:rsid w:val="000B316A"/>
    <w:rsid w:val="000C7E26"/>
    <w:rsid w:val="000D00D6"/>
    <w:rsid w:val="000D2964"/>
    <w:rsid w:val="000D2D8A"/>
    <w:rsid w:val="000E0E6C"/>
    <w:rsid w:val="000E425D"/>
    <w:rsid w:val="000E5BB9"/>
    <w:rsid w:val="0010368E"/>
    <w:rsid w:val="00107815"/>
    <w:rsid w:val="00110450"/>
    <w:rsid w:val="00121711"/>
    <w:rsid w:val="00125A36"/>
    <w:rsid w:val="00125D0B"/>
    <w:rsid w:val="0013259C"/>
    <w:rsid w:val="00137A84"/>
    <w:rsid w:val="00141ABA"/>
    <w:rsid w:val="001422FF"/>
    <w:rsid w:val="00142A03"/>
    <w:rsid w:val="0014565D"/>
    <w:rsid w:val="00150E6D"/>
    <w:rsid w:val="0015130F"/>
    <w:rsid w:val="00154092"/>
    <w:rsid w:val="00160F69"/>
    <w:rsid w:val="001633A1"/>
    <w:rsid w:val="0016445D"/>
    <w:rsid w:val="00167AF6"/>
    <w:rsid w:val="00171B18"/>
    <w:rsid w:val="0017456C"/>
    <w:rsid w:val="001806EE"/>
    <w:rsid w:val="00194882"/>
    <w:rsid w:val="001A098F"/>
    <w:rsid w:val="001B3B3C"/>
    <w:rsid w:val="001C3577"/>
    <w:rsid w:val="001C5B77"/>
    <w:rsid w:val="001C6287"/>
    <w:rsid w:val="001D33B6"/>
    <w:rsid w:val="001D3748"/>
    <w:rsid w:val="001E5516"/>
    <w:rsid w:val="00207762"/>
    <w:rsid w:val="0020782E"/>
    <w:rsid w:val="00212D5A"/>
    <w:rsid w:val="00217685"/>
    <w:rsid w:val="00221C1A"/>
    <w:rsid w:val="00240F05"/>
    <w:rsid w:val="0024350D"/>
    <w:rsid w:val="0025292B"/>
    <w:rsid w:val="00254451"/>
    <w:rsid w:val="00260CD9"/>
    <w:rsid w:val="002657F0"/>
    <w:rsid w:val="0026592A"/>
    <w:rsid w:val="00274484"/>
    <w:rsid w:val="00274BC0"/>
    <w:rsid w:val="0027661F"/>
    <w:rsid w:val="002833A4"/>
    <w:rsid w:val="00283A23"/>
    <w:rsid w:val="00285E37"/>
    <w:rsid w:val="00293B04"/>
    <w:rsid w:val="00294F7D"/>
    <w:rsid w:val="002A32D9"/>
    <w:rsid w:val="002B2679"/>
    <w:rsid w:val="002B6CA8"/>
    <w:rsid w:val="002C2155"/>
    <w:rsid w:val="002C2323"/>
    <w:rsid w:val="002C2A8A"/>
    <w:rsid w:val="002D0948"/>
    <w:rsid w:val="002D5595"/>
    <w:rsid w:val="002D72A6"/>
    <w:rsid w:val="002E397B"/>
    <w:rsid w:val="002E60D3"/>
    <w:rsid w:val="002F1F3F"/>
    <w:rsid w:val="003062B2"/>
    <w:rsid w:val="00307B27"/>
    <w:rsid w:val="003102B0"/>
    <w:rsid w:val="00311516"/>
    <w:rsid w:val="0031382B"/>
    <w:rsid w:val="00341544"/>
    <w:rsid w:val="00355E04"/>
    <w:rsid w:val="00387403"/>
    <w:rsid w:val="00390467"/>
    <w:rsid w:val="00391FB1"/>
    <w:rsid w:val="00394EAB"/>
    <w:rsid w:val="003A142D"/>
    <w:rsid w:val="003B4228"/>
    <w:rsid w:val="003B53C9"/>
    <w:rsid w:val="003B7F65"/>
    <w:rsid w:val="003C0219"/>
    <w:rsid w:val="003C3401"/>
    <w:rsid w:val="003C710D"/>
    <w:rsid w:val="003E33EC"/>
    <w:rsid w:val="003E4F41"/>
    <w:rsid w:val="003E5095"/>
    <w:rsid w:val="003F4777"/>
    <w:rsid w:val="003F620F"/>
    <w:rsid w:val="00401540"/>
    <w:rsid w:val="00413FC5"/>
    <w:rsid w:val="004202BC"/>
    <w:rsid w:val="004265DD"/>
    <w:rsid w:val="004326DC"/>
    <w:rsid w:val="00433235"/>
    <w:rsid w:val="004341F2"/>
    <w:rsid w:val="0043488C"/>
    <w:rsid w:val="00437777"/>
    <w:rsid w:val="004411F4"/>
    <w:rsid w:val="004417D5"/>
    <w:rsid w:val="004543C2"/>
    <w:rsid w:val="00454BB7"/>
    <w:rsid w:val="00457CC1"/>
    <w:rsid w:val="004629B0"/>
    <w:rsid w:val="00465E34"/>
    <w:rsid w:val="00466481"/>
    <w:rsid w:val="004807DF"/>
    <w:rsid w:val="00481D71"/>
    <w:rsid w:val="0049337A"/>
    <w:rsid w:val="00494FFE"/>
    <w:rsid w:val="0049574D"/>
    <w:rsid w:val="004A5175"/>
    <w:rsid w:val="004B2264"/>
    <w:rsid w:val="004D5961"/>
    <w:rsid w:val="004F37D6"/>
    <w:rsid w:val="00500F7B"/>
    <w:rsid w:val="00514D5F"/>
    <w:rsid w:val="00524172"/>
    <w:rsid w:val="005244E8"/>
    <w:rsid w:val="00527064"/>
    <w:rsid w:val="00533FC3"/>
    <w:rsid w:val="005366E7"/>
    <w:rsid w:val="00545B17"/>
    <w:rsid w:val="00566059"/>
    <w:rsid w:val="0057190A"/>
    <w:rsid w:val="005727BE"/>
    <w:rsid w:val="00580004"/>
    <w:rsid w:val="00583534"/>
    <w:rsid w:val="0059018F"/>
    <w:rsid w:val="00591A97"/>
    <w:rsid w:val="0059667E"/>
    <w:rsid w:val="005A2C09"/>
    <w:rsid w:val="005A4C70"/>
    <w:rsid w:val="005A53E7"/>
    <w:rsid w:val="005B4489"/>
    <w:rsid w:val="005B7478"/>
    <w:rsid w:val="005F0E1B"/>
    <w:rsid w:val="005F1643"/>
    <w:rsid w:val="005F41B3"/>
    <w:rsid w:val="005F6E53"/>
    <w:rsid w:val="005F780F"/>
    <w:rsid w:val="00601E56"/>
    <w:rsid w:val="00606BF1"/>
    <w:rsid w:val="00607923"/>
    <w:rsid w:val="006151D0"/>
    <w:rsid w:val="00640751"/>
    <w:rsid w:val="00644930"/>
    <w:rsid w:val="00652E1D"/>
    <w:rsid w:val="00654A38"/>
    <w:rsid w:val="006637DF"/>
    <w:rsid w:val="006645BF"/>
    <w:rsid w:val="006650FD"/>
    <w:rsid w:val="00665D87"/>
    <w:rsid w:val="006776B8"/>
    <w:rsid w:val="0068272E"/>
    <w:rsid w:val="00683A42"/>
    <w:rsid w:val="0068543B"/>
    <w:rsid w:val="006879DE"/>
    <w:rsid w:val="00693DAB"/>
    <w:rsid w:val="006A7549"/>
    <w:rsid w:val="006B3AFE"/>
    <w:rsid w:val="006C266F"/>
    <w:rsid w:val="006C5DC9"/>
    <w:rsid w:val="006D26CF"/>
    <w:rsid w:val="006E1F18"/>
    <w:rsid w:val="006E365A"/>
    <w:rsid w:val="006F2BE8"/>
    <w:rsid w:val="006F6BEF"/>
    <w:rsid w:val="006F7059"/>
    <w:rsid w:val="006F7859"/>
    <w:rsid w:val="00704724"/>
    <w:rsid w:val="007119D7"/>
    <w:rsid w:val="00715E0C"/>
    <w:rsid w:val="007254BF"/>
    <w:rsid w:val="007355FB"/>
    <w:rsid w:val="00742134"/>
    <w:rsid w:val="00742B8E"/>
    <w:rsid w:val="00745E82"/>
    <w:rsid w:val="00757CA1"/>
    <w:rsid w:val="0076450F"/>
    <w:rsid w:val="0076550B"/>
    <w:rsid w:val="00767C5F"/>
    <w:rsid w:val="00785696"/>
    <w:rsid w:val="00791160"/>
    <w:rsid w:val="00795D25"/>
    <w:rsid w:val="007B093A"/>
    <w:rsid w:val="007B23A3"/>
    <w:rsid w:val="007B5D2B"/>
    <w:rsid w:val="007E0815"/>
    <w:rsid w:val="007E4CFA"/>
    <w:rsid w:val="007E5CF3"/>
    <w:rsid w:val="007F4175"/>
    <w:rsid w:val="007F4276"/>
    <w:rsid w:val="00807171"/>
    <w:rsid w:val="00807EC4"/>
    <w:rsid w:val="008104AD"/>
    <w:rsid w:val="00812287"/>
    <w:rsid w:val="0082202C"/>
    <w:rsid w:val="00835C0B"/>
    <w:rsid w:val="00835FCB"/>
    <w:rsid w:val="0083695D"/>
    <w:rsid w:val="0084286A"/>
    <w:rsid w:val="008520BB"/>
    <w:rsid w:val="00853FF1"/>
    <w:rsid w:val="008570BE"/>
    <w:rsid w:val="0086190D"/>
    <w:rsid w:val="008634D9"/>
    <w:rsid w:val="0087023C"/>
    <w:rsid w:val="00882103"/>
    <w:rsid w:val="0089342D"/>
    <w:rsid w:val="008A6285"/>
    <w:rsid w:val="008A729C"/>
    <w:rsid w:val="008B22D5"/>
    <w:rsid w:val="008C4D90"/>
    <w:rsid w:val="008C695A"/>
    <w:rsid w:val="008D1A62"/>
    <w:rsid w:val="008D56D5"/>
    <w:rsid w:val="0090175E"/>
    <w:rsid w:val="0090771F"/>
    <w:rsid w:val="00907FC8"/>
    <w:rsid w:val="00921CDC"/>
    <w:rsid w:val="00927019"/>
    <w:rsid w:val="009500B2"/>
    <w:rsid w:val="00952D1E"/>
    <w:rsid w:val="0095641E"/>
    <w:rsid w:val="009617D4"/>
    <w:rsid w:val="00965A31"/>
    <w:rsid w:val="00980BEB"/>
    <w:rsid w:val="00985830"/>
    <w:rsid w:val="00987E72"/>
    <w:rsid w:val="00997881"/>
    <w:rsid w:val="009A019D"/>
    <w:rsid w:val="009A1910"/>
    <w:rsid w:val="009A194E"/>
    <w:rsid w:val="009B34C9"/>
    <w:rsid w:val="009C2D78"/>
    <w:rsid w:val="009C77C8"/>
    <w:rsid w:val="009D14E5"/>
    <w:rsid w:val="009D3656"/>
    <w:rsid w:val="009D516B"/>
    <w:rsid w:val="009E44D1"/>
    <w:rsid w:val="00A054BD"/>
    <w:rsid w:val="00A068A0"/>
    <w:rsid w:val="00A102F3"/>
    <w:rsid w:val="00A14108"/>
    <w:rsid w:val="00A15BEC"/>
    <w:rsid w:val="00A23ABE"/>
    <w:rsid w:val="00A34815"/>
    <w:rsid w:val="00A4223B"/>
    <w:rsid w:val="00A465CA"/>
    <w:rsid w:val="00A4728F"/>
    <w:rsid w:val="00A65FCA"/>
    <w:rsid w:val="00A717AA"/>
    <w:rsid w:val="00A90B70"/>
    <w:rsid w:val="00A94012"/>
    <w:rsid w:val="00A9426D"/>
    <w:rsid w:val="00AA068C"/>
    <w:rsid w:val="00AA222C"/>
    <w:rsid w:val="00AA31DC"/>
    <w:rsid w:val="00AA3DEF"/>
    <w:rsid w:val="00AA4361"/>
    <w:rsid w:val="00AA4B15"/>
    <w:rsid w:val="00AB22F1"/>
    <w:rsid w:val="00AB31CA"/>
    <w:rsid w:val="00AC04BF"/>
    <w:rsid w:val="00AC1D1C"/>
    <w:rsid w:val="00AD2A2A"/>
    <w:rsid w:val="00AD59DA"/>
    <w:rsid w:val="00AD728D"/>
    <w:rsid w:val="00AE5721"/>
    <w:rsid w:val="00AE7547"/>
    <w:rsid w:val="00AF2959"/>
    <w:rsid w:val="00AF41A4"/>
    <w:rsid w:val="00B01971"/>
    <w:rsid w:val="00B13634"/>
    <w:rsid w:val="00B14DC7"/>
    <w:rsid w:val="00B16273"/>
    <w:rsid w:val="00B17F14"/>
    <w:rsid w:val="00B300D4"/>
    <w:rsid w:val="00B346C2"/>
    <w:rsid w:val="00B34EA9"/>
    <w:rsid w:val="00B437AE"/>
    <w:rsid w:val="00B4434A"/>
    <w:rsid w:val="00B464C0"/>
    <w:rsid w:val="00B5250C"/>
    <w:rsid w:val="00B57EC4"/>
    <w:rsid w:val="00B57F8D"/>
    <w:rsid w:val="00B600A6"/>
    <w:rsid w:val="00B64D5F"/>
    <w:rsid w:val="00B64E30"/>
    <w:rsid w:val="00B731FF"/>
    <w:rsid w:val="00B73E30"/>
    <w:rsid w:val="00B806D6"/>
    <w:rsid w:val="00B85A40"/>
    <w:rsid w:val="00B90CAE"/>
    <w:rsid w:val="00B973F9"/>
    <w:rsid w:val="00BB1975"/>
    <w:rsid w:val="00BC2CF5"/>
    <w:rsid w:val="00BD734C"/>
    <w:rsid w:val="00BE51E0"/>
    <w:rsid w:val="00BE5221"/>
    <w:rsid w:val="00BF607D"/>
    <w:rsid w:val="00C10388"/>
    <w:rsid w:val="00C1634B"/>
    <w:rsid w:val="00C4455F"/>
    <w:rsid w:val="00C46649"/>
    <w:rsid w:val="00C507BA"/>
    <w:rsid w:val="00C51919"/>
    <w:rsid w:val="00C700F9"/>
    <w:rsid w:val="00C71D76"/>
    <w:rsid w:val="00C73A8A"/>
    <w:rsid w:val="00C740C3"/>
    <w:rsid w:val="00C81C46"/>
    <w:rsid w:val="00C84DD7"/>
    <w:rsid w:val="00CA2FF7"/>
    <w:rsid w:val="00CA4223"/>
    <w:rsid w:val="00CB4899"/>
    <w:rsid w:val="00CB7451"/>
    <w:rsid w:val="00CC3564"/>
    <w:rsid w:val="00CC357C"/>
    <w:rsid w:val="00CC65F8"/>
    <w:rsid w:val="00CD2513"/>
    <w:rsid w:val="00CD28CB"/>
    <w:rsid w:val="00CD47F2"/>
    <w:rsid w:val="00CD6379"/>
    <w:rsid w:val="00CE519D"/>
    <w:rsid w:val="00CE5B5F"/>
    <w:rsid w:val="00CF0FA5"/>
    <w:rsid w:val="00D105A5"/>
    <w:rsid w:val="00D13488"/>
    <w:rsid w:val="00D14410"/>
    <w:rsid w:val="00D240A9"/>
    <w:rsid w:val="00D27970"/>
    <w:rsid w:val="00D301B4"/>
    <w:rsid w:val="00D328FC"/>
    <w:rsid w:val="00D37A00"/>
    <w:rsid w:val="00D44DE7"/>
    <w:rsid w:val="00D514F8"/>
    <w:rsid w:val="00D5646A"/>
    <w:rsid w:val="00D6463D"/>
    <w:rsid w:val="00D65F01"/>
    <w:rsid w:val="00D72CA3"/>
    <w:rsid w:val="00D87554"/>
    <w:rsid w:val="00DA0975"/>
    <w:rsid w:val="00DA1E68"/>
    <w:rsid w:val="00DD0C23"/>
    <w:rsid w:val="00DD2E82"/>
    <w:rsid w:val="00DD383B"/>
    <w:rsid w:val="00DD38C7"/>
    <w:rsid w:val="00DD3BAB"/>
    <w:rsid w:val="00DD4719"/>
    <w:rsid w:val="00DE1939"/>
    <w:rsid w:val="00DF79DB"/>
    <w:rsid w:val="00E009DE"/>
    <w:rsid w:val="00E31920"/>
    <w:rsid w:val="00E33B16"/>
    <w:rsid w:val="00E352E3"/>
    <w:rsid w:val="00E46A66"/>
    <w:rsid w:val="00E51A22"/>
    <w:rsid w:val="00E646F7"/>
    <w:rsid w:val="00E715A0"/>
    <w:rsid w:val="00E748BD"/>
    <w:rsid w:val="00E76B26"/>
    <w:rsid w:val="00E865B2"/>
    <w:rsid w:val="00E90977"/>
    <w:rsid w:val="00E9745E"/>
    <w:rsid w:val="00EA2620"/>
    <w:rsid w:val="00EE0B57"/>
    <w:rsid w:val="00EE413E"/>
    <w:rsid w:val="00EF3B02"/>
    <w:rsid w:val="00F05E2E"/>
    <w:rsid w:val="00F06665"/>
    <w:rsid w:val="00F10D8C"/>
    <w:rsid w:val="00F14933"/>
    <w:rsid w:val="00F160A7"/>
    <w:rsid w:val="00F21246"/>
    <w:rsid w:val="00F268BD"/>
    <w:rsid w:val="00F602FF"/>
    <w:rsid w:val="00F70F3E"/>
    <w:rsid w:val="00F71472"/>
    <w:rsid w:val="00F7653A"/>
    <w:rsid w:val="00F77C86"/>
    <w:rsid w:val="00F831BB"/>
    <w:rsid w:val="00F90D90"/>
    <w:rsid w:val="00F9578A"/>
    <w:rsid w:val="00FA6E74"/>
    <w:rsid w:val="00FB222A"/>
    <w:rsid w:val="00FB45CE"/>
    <w:rsid w:val="00FB6906"/>
    <w:rsid w:val="00FC623B"/>
    <w:rsid w:val="00FD0A5A"/>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1970">
      <o:colormenu v:ext="edit" fillcolor="none"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image"/>
    <w:link w:val="SansinterligneCar"/>
    <w:uiPriority w:val="1"/>
    <w:qFormat/>
    <w:rsid w:val="00E352E3"/>
    <w:pPr>
      <w:spacing w:after="0" w:line="240" w:lineRule="auto"/>
      <w:jc w:val="center"/>
    </w:pPr>
    <w:rPr>
      <w:rFonts w:asciiTheme="majorHAnsi" w:eastAsiaTheme="minorEastAsia" w:hAnsiTheme="majorHAnsi"/>
    </w:rPr>
  </w:style>
  <w:style w:type="character" w:customStyle="1" w:styleId="SansinterligneCar">
    <w:name w:val="Sans interligne Car"/>
    <w:aliases w:val="image Car"/>
    <w:basedOn w:val="Policepardfaut"/>
    <w:link w:val="Sansinterligne"/>
    <w:uiPriority w:val="1"/>
    <w:rsid w:val="00E352E3"/>
    <w:rPr>
      <w:rFonts w:asciiTheme="majorHAnsi" w:eastAsiaTheme="minorEastAsia" w:hAnsiTheme="majorHAnsi"/>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E352E3"/>
    <w:pPr>
      <w:spacing w:before="60" w:after="0" w:line="240" w:lineRule="auto"/>
      <w:jc w:val="center"/>
    </w:pPr>
    <w:rPr>
      <w:bCs/>
      <w:i/>
      <w:sz w:val="20"/>
      <w:szCs w:val="18"/>
    </w:rPr>
  </w:style>
  <w:style w:type="paragraph" w:styleId="Bibliographie">
    <w:name w:val="Bibliography"/>
    <w:basedOn w:val="Normal"/>
    <w:next w:val="Normal"/>
    <w:uiPriority w:val="37"/>
    <w:unhideWhenUsed/>
    <w:rsid w:val="000E425D"/>
  </w:style>
  <w:style w:type="paragraph" w:customStyle="1" w:styleId="Default">
    <w:name w:val="Default"/>
    <w:rsid w:val="004411F4"/>
    <w:pPr>
      <w:autoSpaceDE w:val="0"/>
      <w:autoSpaceDN w:val="0"/>
      <w:adjustRightInd w:val="0"/>
      <w:spacing w:after="0" w:line="240" w:lineRule="auto"/>
    </w:pPr>
    <w:rPr>
      <w:rFonts w:ascii="Trebuchet MS" w:hAnsi="Trebuchet MS" w:cs="Trebuchet MS"/>
      <w:color w:val="000000"/>
      <w:sz w:val="24"/>
      <w:szCs w:val="24"/>
    </w:rPr>
  </w:style>
  <w:style w:type="character" w:styleId="Textedelespacerserv">
    <w:name w:val="Placeholder Text"/>
    <w:basedOn w:val="Policepardfaut"/>
    <w:uiPriority w:val="99"/>
    <w:semiHidden/>
    <w:rsid w:val="000161BD"/>
    <w:rPr>
      <w:color w:val="808080"/>
    </w:rPr>
  </w:style>
  <w:style w:type="paragraph" w:styleId="Notedebasdepage">
    <w:name w:val="footnote text"/>
    <w:basedOn w:val="Normal"/>
    <w:link w:val="NotedebasdepageCar"/>
    <w:uiPriority w:val="99"/>
    <w:semiHidden/>
    <w:unhideWhenUsed/>
    <w:rsid w:val="00465E34"/>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465E34"/>
    <w:rPr>
      <w:rFonts w:asciiTheme="majorHAnsi" w:hAnsiTheme="majorHAnsi"/>
      <w:sz w:val="20"/>
      <w:szCs w:val="20"/>
    </w:rPr>
  </w:style>
  <w:style w:type="character" w:styleId="Appelnotedebasdep">
    <w:name w:val="footnote reference"/>
    <w:basedOn w:val="Policepardfaut"/>
    <w:uiPriority w:val="99"/>
    <w:semiHidden/>
    <w:unhideWhenUsed/>
    <w:rsid w:val="00465E34"/>
    <w:rPr>
      <w:vertAlign w:val="superscript"/>
    </w:rPr>
  </w:style>
  <w:style w:type="character" w:styleId="lev">
    <w:name w:val="Strong"/>
    <w:basedOn w:val="Policepardfaut"/>
    <w:uiPriority w:val="22"/>
    <w:qFormat/>
    <w:rsid w:val="00274484"/>
    <w:rPr>
      <w:b/>
      <w:bCs/>
    </w:rPr>
  </w:style>
  <w:style w:type="character" w:customStyle="1" w:styleId="mw-mmv-title">
    <w:name w:val="mw-mmv-title"/>
    <w:basedOn w:val="Policepardfaut"/>
    <w:rsid w:val="00F14933"/>
  </w:style>
  <w:style w:type="character" w:styleId="Lienhypertextesuivivisit">
    <w:name w:val="FollowedHyperlink"/>
    <w:basedOn w:val="Policepardfaut"/>
    <w:uiPriority w:val="99"/>
    <w:semiHidden/>
    <w:unhideWhenUsed/>
    <w:rsid w:val="00AE5721"/>
    <w:rPr>
      <w:color w:val="AA8A14" w:themeColor="followedHyperlink"/>
      <w:u w:val="single"/>
    </w:rPr>
  </w:style>
  <w:style w:type="character" w:styleId="Marquedecommentaire">
    <w:name w:val="annotation reference"/>
    <w:basedOn w:val="Policepardfaut"/>
    <w:uiPriority w:val="99"/>
    <w:semiHidden/>
    <w:unhideWhenUsed/>
    <w:rsid w:val="001C3577"/>
    <w:rPr>
      <w:sz w:val="16"/>
      <w:szCs w:val="16"/>
    </w:rPr>
  </w:style>
  <w:style w:type="paragraph" w:styleId="Commentaire">
    <w:name w:val="annotation text"/>
    <w:basedOn w:val="Normal"/>
    <w:link w:val="CommentaireCar"/>
    <w:uiPriority w:val="99"/>
    <w:semiHidden/>
    <w:unhideWhenUsed/>
    <w:rsid w:val="001C3577"/>
    <w:pPr>
      <w:spacing w:line="240" w:lineRule="auto"/>
    </w:pPr>
    <w:rPr>
      <w:sz w:val="20"/>
      <w:szCs w:val="20"/>
    </w:rPr>
  </w:style>
  <w:style w:type="character" w:customStyle="1" w:styleId="CommentaireCar">
    <w:name w:val="Commentaire Car"/>
    <w:basedOn w:val="Policepardfaut"/>
    <w:link w:val="Commentaire"/>
    <w:uiPriority w:val="99"/>
    <w:semiHidden/>
    <w:rsid w:val="001C3577"/>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1C3577"/>
    <w:rPr>
      <w:b/>
      <w:bCs/>
    </w:rPr>
  </w:style>
  <w:style w:type="character" w:customStyle="1" w:styleId="ObjetducommentaireCar">
    <w:name w:val="Objet du commentaire Car"/>
    <w:basedOn w:val="CommentaireCar"/>
    <w:link w:val="Objetducommentaire"/>
    <w:uiPriority w:val="99"/>
    <w:semiHidden/>
    <w:rsid w:val="001C3577"/>
    <w:rPr>
      <w:b/>
      <w:bCs/>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hyperlink" Target="http://www.bluhmpartner.com/de/experts/projects/sinntal-bridge" TargetMode="External"/><Relationship Id="rId68" Type="http://schemas.openxmlformats.org/officeDocument/2006/relationships/hyperlink" Target="http://www.art-et-histoire.com" TargetMode="External"/><Relationship Id="rId76" Type="http://schemas.openxmlformats.org/officeDocument/2006/relationships/hyperlink" Target="https://commons.wikimedia.org/w/index.php?curid=3148088" TargetMode="External"/><Relationship Id="rId7" Type="http://schemas.openxmlformats.org/officeDocument/2006/relationships/endnotes" Target="endnotes.xml"/><Relationship Id="rId71" Type="http://schemas.openxmlformats.org/officeDocument/2006/relationships/hyperlink" Target="https://commons.wikimedia.org/w/index.php?curid=14476634"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fra.archinform.net" TargetMode="External"/><Relationship Id="rId66" Type="http://schemas.openxmlformats.org/officeDocument/2006/relationships/hyperlink" Target="https://www.futura-sciences.com/" TargetMode="External"/><Relationship Id="rId74" Type="http://schemas.openxmlformats.org/officeDocument/2006/relationships/hyperlink" Target="https://commons.wikimedia.org/w/index.php?curid=4216116" TargetMode="External"/><Relationship Id="rId79" Type="http://schemas.openxmlformats.org/officeDocument/2006/relationships/hyperlink" Target="https://www.lepoint.fr" TargetMode="External"/><Relationship Id="rId5" Type="http://schemas.openxmlformats.org/officeDocument/2006/relationships/webSettings" Target="webSettings.xml"/><Relationship Id="rId61" Type="http://schemas.openxmlformats.org/officeDocument/2006/relationships/hyperlink" Target="https://espritdepays.com/bonus/glossaire-architecture-religieuse"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eduscol.education.fr/sti/si-ens-paris-saclay/ressources_pedagogiques/etude-du-renforcement-dun-pont-mixte" TargetMode="External"/><Relationship Id="rId65" Type="http://schemas.openxmlformats.org/officeDocument/2006/relationships/hyperlink" Target="https://commons.wikimedia.org/w/index.php?curid=9477522" TargetMode="External"/><Relationship Id="rId73" Type="http://schemas.openxmlformats.org/officeDocument/2006/relationships/hyperlink" Target="http://www.meteo-paris.com" TargetMode="External"/><Relationship Id="rId78" Type="http://schemas.openxmlformats.org/officeDocument/2006/relationships/hyperlink" Target="https://www.hdrinc.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commons.wikimedia.org/w/index.php?curid=69855772" TargetMode="External"/><Relationship Id="rId64" Type="http://schemas.openxmlformats.org/officeDocument/2006/relationships/hyperlink" Target="https://commons.wikimedia.org/w/index.php?curid=4812831" TargetMode="External"/><Relationship Id="rId69" Type="http://schemas.openxmlformats.org/officeDocument/2006/relationships/hyperlink" Target="https://commons.wikimedia.org/w/index.php?curid=11809570" TargetMode="External"/><Relationship Id="rId77" Type="http://schemas.openxmlformats.org/officeDocument/2006/relationships/hyperlink" Target="https://frenchdistrict.com/" TargetMode="Externa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yperlink" Target="http://goldengate.org/" TargetMode="External"/><Relationship Id="rId80" Type="http://schemas.openxmlformats.org/officeDocument/2006/relationships/hyperlink" Target="http://eduscol.education.fr/sti/si-ens-cachan/"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eduscol.education.fr/sti/si-ens-cachan/ressources_pedagogiques/conception-et-construction-des-arcs" TargetMode="External"/><Relationship Id="rId67" Type="http://schemas.openxmlformats.org/officeDocument/2006/relationships/hyperlink" Target="https://commons.wikimedia.org/w/index.php?curid=3688577"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s://commons.wikimedia.org/w/index.php?curid=601665" TargetMode="External"/><Relationship Id="rId70" Type="http://schemas.openxmlformats.org/officeDocument/2006/relationships/hyperlink" Target="https://www.youtube.com/watch?v=uhWQ5zr5_xc" TargetMode="External"/><Relationship Id="rId75" Type="http://schemas.openxmlformats.org/officeDocument/2006/relationships/hyperlink" Target="http://www.ulb.ac.be/soco/matsch/recherche/12/ponts/pont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commons.wikimedia.org/w/index.php?curid=4406997"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21</b:Tag>
    <b:SourceType>Misc</b:SourceType>
    <b:Guid>{31C5FCE9-8C68-489F-A41C-03C3769C639F}</b:Guid>
    <b:LCID>0</b:LCID>
    <b:Author>
      <b:Author>
        <b:NameList>
          <b:Person>
            <b:Last>2</b:Last>
          </b:Person>
        </b:NameList>
      </b:Author>
    </b:Author>
    <b:RefOrder>1</b:RefOrder>
  </b:Source>
  <b:Source>
    <b:Tag>31</b:Tag>
    <b:SourceType>Misc</b:SourceType>
    <b:Guid>{A4EDB8C8-AD36-4FC2-88D9-4CE85ADCCE85}</b:Guid>
    <b:LCID>0</b:LCID>
    <b:Author>
      <b:Author>
        <b:NameList>
          <b:Person>
            <b:Last>3</b:Last>
          </b:Person>
        </b:NameList>
      </b:Author>
    </b:Author>
  </b:Source>
</b:Sources>
</file>

<file path=customXml/itemProps1.xml><?xml version="1.0" encoding="utf-8"?>
<ds:datastoreItem xmlns:ds="http://schemas.openxmlformats.org/officeDocument/2006/customXml" ds:itemID="{7EA59076-31AF-4613-9F47-C04168F19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5429</Words>
  <Characters>29862</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17</cp:revision>
  <cp:lastPrinted>2019-03-18T09:31:00Z</cp:lastPrinted>
  <dcterms:created xsi:type="dcterms:W3CDTF">2019-03-15T10:40:00Z</dcterms:created>
  <dcterms:modified xsi:type="dcterms:W3CDTF">2019-03-21T10:34:00Z</dcterms:modified>
</cp:coreProperties>
</file>