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0C9" w:rsidRDefault="009F500F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BACCALAURÉAT PROFESSIONNEL</w:t>
      </w:r>
    </w:p>
    <w:p w:rsidR="004220C9" w:rsidRDefault="004220C9">
      <w:pPr>
        <w:jc w:val="center"/>
      </w:pPr>
    </w:p>
    <w:p w:rsidR="004220C9" w:rsidRDefault="009F500F">
      <w:pPr>
        <w:jc w:val="center"/>
      </w:pPr>
      <w:r>
        <w:rPr>
          <w:b/>
          <w:sz w:val="32"/>
          <w:szCs w:val="32"/>
        </w:rPr>
        <w:t>RÉPARATION DES CARROSSERIES</w:t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SESSION 2024</w:t>
      </w:r>
    </w:p>
    <w:p w:rsidR="004220C9" w:rsidRDefault="009F500F">
      <w:pPr>
        <w:tabs>
          <w:tab w:val="left" w:pos="8364"/>
        </w:tabs>
        <w:rPr>
          <w:b/>
        </w:rPr>
      </w:pPr>
      <w:r>
        <w:rPr>
          <w:b/>
        </w:rPr>
        <w:tab/>
      </w:r>
    </w:p>
    <w:p w:rsidR="004220C9" w:rsidRDefault="004220C9"/>
    <w:p w:rsidR="004220C9" w:rsidRDefault="004220C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</w:pPr>
    </w:p>
    <w:p w:rsidR="004220C9" w:rsidRDefault="009F500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  <w:jc w:val="center"/>
        <w:rPr>
          <w:sz w:val="32"/>
        </w:rPr>
      </w:pPr>
      <w:r>
        <w:rPr>
          <w:sz w:val="32"/>
        </w:rPr>
        <w:t xml:space="preserve">E.2 - ÉPREUVE </w:t>
      </w:r>
      <w:r w:rsidR="0062233A">
        <w:rPr>
          <w:sz w:val="32"/>
        </w:rPr>
        <w:t>DE</w:t>
      </w:r>
      <w:r>
        <w:rPr>
          <w:sz w:val="32"/>
        </w:rPr>
        <w:t xml:space="preserve"> TECHNOLOGIE</w:t>
      </w:r>
    </w:p>
    <w:p w:rsidR="004220C9" w:rsidRDefault="004220C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</w:pPr>
    </w:p>
    <w:p w:rsidR="004220C9" w:rsidRDefault="004220C9"/>
    <w:p w:rsidR="004220C9" w:rsidRDefault="009F500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  <w:tabs>
          <w:tab w:val="right" w:pos="10065"/>
        </w:tabs>
      </w:pPr>
      <w:r>
        <w:rPr>
          <w:b/>
        </w:rPr>
        <w:tab/>
      </w:r>
      <w:r>
        <w:rPr>
          <w:b/>
          <w:u w:val="single"/>
        </w:rPr>
        <w:t>UNITÉ CERTIFICATIVE U2</w:t>
      </w:r>
    </w:p>
    <w:p w:rsidR="004220C9" w:rsidRDefault="004220C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  <w:jc w:val="center"/>
      </w:pPr>
    </w:p>
    <w:p w:rsidR="004220C9" w:rsidRDefault="009F500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Étude de cas – Expertise technique</w:t>
      </w:r>
    </w:p>
    <w:p w:rsidR="004220C9" w:rsidRDefault="004220C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  <w:jc w:val="center"/>
      </w:pPr>
    </w:p>
    <w:p w:rsidR="004220C9" w:rsidRDefault="009F500F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pct5" w:color="auto" w:fill="auto"/>
        <w:tabs>
          <w:tab w:val="right" w:pos="10065"/>
        </w:tabs>
      </w:pPr>
      <w:r>
        <w:rPr>
          <w:b/>
        </w:rPr>
        <w:t>Durée : 3 heures</w:t>
      </w:r>
      <w:r>
        <w:tab/>
      </w:r>
      <w:r>
        <w:rPr>
          <w:b/>
        </w:rPr>
        <w:t>Coefficient : 3</w:t>
      </w:r>
    </w:p>
    <w:p w:rsidR="004220C9" w:rsidRDefault="004220C9"/>
    <w:p w:rsidR="004220C9" w:rsidRDefault="004220C9">
      <w:pPr>
        <w:rPr>
          <w:rFonts w:cs="Arial"/>
        </w:rPr>
      </w:pPr>
    </w:p>
    <w:p w:rsidR="004220C9" w:rsidRDefault="004220C9">
      <w:pPr>
        <w:rPr>
          <w:rFonts w:cs="Arial"/>
        </w:rPr>
      </w:pPr>
    </w:p>
    <w:p w:rsidR="004220C9" w:rsidRDefault="009F500F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bookmarkStart w:id="1" w:name="_Toc120104262"/>
      <w:bookmarkStart w:id="2" w:name="_Toc155881764"/>
      <w:r>
        <w:rPr>
          <w:rFonts w:cs="Arial"/>
          <w:b/>
          <w:bCs/>
          <w:sz w:val="52"/>
          <w:szCs w:val="52"/>
        </w:rPr>
        <w:t>DOSSIER TECHNIQUE</w:t>
      </w:r>
      <w:bookmarkEnd w:id="1"/>
      <w:bookmarkEnd w:id="2"/>
    </w:p>
    <w:p w:rsidR="004220C9" w:rsidRDefault="004220C9">
      <w:pPr>
        <w:rPr>
          <w:lang w:eastAsia="ar-SA"/>
        </w:rPr>
      </w:pPr>
    </w:p>
    <w:p w:rsidR="004220C9" w:rsidRDefault="004220C9">
      <w:pPr>
        <w:rPr>
          <w:rFonts w:cs="Arial"/>
        </w:rPr>
      </w:pPr>
    </w:p>
    <w:p w:rsidR="004220C9" w:rsidRDefault="009F500F" w:rsidP="00921633">
      <w:pPr>
        <w:jc w:val="center"/>
        <w:rPr>
          <w:b/>
        </w:rPr>
      </w:pPr>
      <w:r>
        <w:rPr>
          <w:b/>
        </w:rPr>
        <w:t>Ce dossier comprend 23 pages numérotées de DT</w:t>
      </w:r>
      <w:r w:rsidR="00B40D43">
        <w:rPr>
          <w:b/>
        </w:rPr>
        <w:t xml:space="preserve"> </w:t>
      </w:r>
      <w:r>
        <w:rPr>
          <w:b/>
        </w:rPr>
        <w:t>1/23 à DT</w:t>
      </w:r>
      <w:r w:rsidR="00B40D43">
        <w:rPr>
          <w:b/>
        </w:rPr>
        <w:t xml:space="preserve"> </w:t>
      </w:r>
      <w:r>
        <w:rPr>
          <w:b/>
        </w:rPr>
        <w:t>23/23</w:t>
      </w:r>
    </w:p>
    <w:p w:rsidR="00921633" w:rsidRDefault="00921633" w:rsidP="00921633">
      <w:pPr>
        <w:jc w:val="center"/>
        <w:rPr>
          <w:b/>
        </w:rPr>
      </w:pPr>
    </w:p>
    <w:p w:rsidR="004220C9" w:rsidRPr="006B3C8B" w:rsidRDefault="009F500F" w:rsidP="0026470C">
      <w:pPr>
        <w:pStyle w:val="En-ttedetabledesmatires"/>
        <w:ind w:left="0" w:firstLine="0"/>
        <w:jc w:val="both"/>
        <w:rPr>
          <w:b/>
          <w:color w:val="000000" w:themeColor="text1"/>
        </w:rPr>
      </w:pPr>
      <w:r w:rsidRPr="006B3C8B">
        <w:rPr>
          <w:b/>
          <w:color w:val="000000" w:themeColor="text1"/>
        </w:rPr>
        <w:t>Table des matières</w:t>
      </w:r>
    </w:p>
    <w:sdt>
      <w:sdtPr>
        <w:id w:val="42414133"/>
        <w:docPartObj>
          <w:docPartGallery w:val="Table of Contents"/>
          <w:docPartUnique/>
        </w:docPartObj>
      </w:sdtPr>
      <w:sdtEndPr/>
      <w:sdtContent>
        <w:p w:rsidR="00A314D4" w:rsidRDefault="009F500F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rPr>
              <w:rStyle w:val="Sautdindex"/>
              <w:rFonts w:cs="Arial"/>
              <w:b/>
              <w:bCs/>
              <w:webHidden/>
            </w:rPr>
            <w:instrText xml:space="preserve"> TOC \z \o "1-3" \u \h</w:instrText>
          </w:r>
          <w:r>
            <w:rPr>
              <w:rStyle w:val="Sautdindex"/>
              <w:rFonts w:cs="Arial"/>
              <w:b/>
              <w:bCs/>
            </w:rPr>
            <w:fldChar w:fldCharType="separate"/>
          </w:r>
          <w:hyperlink w:anchor="_Toc155881764" w:history="1">
            <w:r w:rsidR="00A314D4" w:rsidRPr="00E02769">
              <w:rPr>
                <w:rStyle w:val="Lienhypertexte"/>
                <w:rFonts w:cs="Arial"/>
                <w:b/>
                <w:bCs/>
                <w:noProof/>
              </w:rPr>
              <w:t>DOSSIER TECHNIQUE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_Toc155881764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65" w:history="1">
            <w:r w:rsidR="00A314D4" w:rsidRPr="00E02769">
              <w:rPr>
                <w:rStyle w:val="Lienhypertexte"/>
                <w:noProof/>
              </w:rPr>
              <w:t>1.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Photos du véhicule accidenté.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_Toc155881765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2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66" w:history="1">
            <w:r w:rsidR="00A314D4" w:rsidRPr="00E02769">
              <w:rPr>
                <w:rStyle w:val="Lienhypertexte"/>
                <w:noProof/>
              </w:rPr>
              <w:t>2.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Rapport d'expertise et son annexe.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_Toc155881766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3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67" w:history="1">
            <w:r w:rsidR="00A314D4" w:rsidRPr="00E02769">
              <w:rPr>
                <w:rStyle w:val="Lienhypertexte"/>
                <w:noProof/>
              </w:rPr>
              <w:t>3.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Article de loi du code de la route.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_Toc155881767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8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68" w:history="1">
            <w:r w:rsidR="00A314D4" w:rsidRPr="00E02769">
              <w:rPr>
                <w:rStyle w:val="Lienhypertexte"/>
                <w:noProof/>
              </w:rPr>
              <w:t>4.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Liste des valeurs des points de mesure du soubassement avec l'appareil Shark de Blackhawk.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_Toc155881768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9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69" w:history="1">
            <w:r w:rsidR="00A314D4" w:rsidRPr="00E02769">
              <w:rPr>
                <w:rStyle w:val="Lienhypertexte"/>
                <w:noProof/>
              </w:rPr>
              <w:t>5.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Plan de soubassement du véhicule pour l'appareil Shark de Blackhawk.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_Toc155881769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10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0" w:history="1">
            <w:r w:rsidR="00A314D4" w:rsidRPr="00E02769">
              <w:rPr>
                <w:rStyle w:val="Lienhypertexte"/>
                <w:noProof/>
              </w:rPr>
              <w:t>6.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B40D43">
              <w:rPr>
                <w:rStyle w:val="Lienhypertexte"/>
                <w:noProof/>
              </w:rPr>
              <w:t>Procédure de mise hors/en service du véhicule avant/</w:t>
            </w:r>
            <w:r w:rsidR="00A314D4" w:rsidRPr="00E02769">
              <w:rPr>
                <w:rStyle w:val="Lienhypertexte"/>
                <w:noProof/>
              </w:rPr>
              <w:t>après travaux.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_Toc155881770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12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1" w:history="1">
            <w:r w:rsidR="00A314D4" w:rsidRPr="00E02769">
              <w:rPr>
                <w:rStyle w:val="Lienhypertexte"/>
                <w:noProof/>
              </w:rPr>
              <w:t>7.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Extrait de méthodologie du constructeur pour le remplacement du longeron complet.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_Toc155881771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13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2" w:history="1">
            <w:r w:rsidR="00A314D4" w:rsidRPr="00E02769">
              <w:rPr>
                <w:rStyle w:val="Lienhypertexte"/>
                <w:noProof/>
              </w:rPr>
              <w:t>8.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Extrait de la notice d'utilisation de la pointeuse SERP de GYS.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_Toc155881772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16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3" w:history="1">
            <w:r w:rsidR="00A314D4" w:rsidRPr="00E02769">
              <w:rPr>
                <w:rStyle w:val="Lienhypertexte"/>
                <w:noProof/>
              </w:rPr>
              <w:t>9.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Plan d'ajustage latéral des éléments amovibles.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_Toc155881773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17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4" w:history="1">
            <w:r w:rsidR="00A314D4" w:rsidRPr="00E02769">
              <w:rPr>
                <w:rStyle w:val="Lienhypertexte"/>
                <w:noProof/>
              </w:rPr>
              <w:t>10.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Extrait de documentation du constructeur sur les couples de serrage des composants du circuit réfrigérant de climatisation.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_Toc155881774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18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5" w:history="1">
            <w:r w:rsidR="00A314D4" w:rsidRPr="00E02769">
              <w:rPr>
                <w:rStyle w:val="Lienhypertexte"/>
                <w:noProof/>
              </w:rPr>
              <w:t>11.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Extrait de documentation du constructeur sur la méthodologie de contrôle d'étanchéité du circuit de réfrigération de climatisation.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_Toc155881775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19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6" w:history="1">
            <w:r w:rsidR="00A314D4" w:rsidRPr="00E02769">
              <w:rPr>
                <w:rStyle w:val="Lienhypertexte"/>
                <w:noProof/>
              </w:rPr>
              <w:t>12.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Extrait de documentation du constructeur sur l'évolutio</w:t>
            </w:r>
            <w:r w:rsidR="007822F7">
              <w:rPr>
                <w:rStyle w:val="Lienhypertexte"/>
                <w:noProof/>
              </w:rPr>
              <w:t>n concernant le nouveau fluide « 1234YF»</w:t>
            </w:r>
            <w:r w:rsidR="00A314D4" w:rsidRPr="00E02769">
              <w:rPr>
                <w:rStyle w:val="Lienhypertexte"/>
                <w:noProof/>
              </w:rPr>
              <w:t xml:space="preserve"> du circuit de réfrigération de climatisation.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_Toc155881776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20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7" w:history="1">
            <w:r w:rsidR="00A314D4" w:rsidRPr="00E02769">
              <w:rPr>
                <w:rStyle w:val="Lienhypertexte"/>
                <w:noProof/>
              </w:rPr>
              <w:t>13.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Extrait de documentation du constructeur sur les capacités de charge du fluide de réfrigération d</w:t>
            </w:r>
            <w:r w:rsidR="00B40D43">
              <w:rPr>
                <w:rStyle w:val="Lienhypertexte"/>
                <w:noProof/>
              </w:rPr>
              <w:t>e la climatisation (fluide 1234</w:t>
            </w:r>
            <w:r w:rsidR="00A314D4" w:rsidRPr="00E02769">
              <w:rPr>
                <w:rStyle w:val="Lienhypertexte"/>
                <w:noProof/>
              </w:rPr>
              <w:t>YF).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_Toc155881777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22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A314D4" w:rsidRDefault="00185287" w:rsidP="00302D72">
          <w:pPr>
            <w:pStyle w:val="TM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5881778" w:history="1">
            <w:r w:rsidR="00A314D4" w:rsidRPr="00E02769">
              <w:rPr>
                <w:rStyle w:val="Lienhypertexte"/>
                <w:noProof/>
              </w:rPr>
              <w:t>14.</w:t>
            </w:r>
            <w:r w:rsidR="00A314D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314D4" w:rsidRPr="00E02769">
              <w:rPr>
                <w:rStyle w:val="Lienhypertexte"/>
                <w:noProof/>
              </w:rPr>
              <w:t>Extrait de documentation du constructeur sur la méthodologie de contrôle de bon fonctionnement de la climatisation.</w:t>
            </w:r>
            <w:r w:rsidR="00A314D4">
              <w:rPr>
                <w:noProof/>
                <w:webHidden/>
              </w:rPr>
              <w:tab/>
            </w:r>
            <w:r w:rsidR="00A314D4">
              <w:rPr>
                <w:noProof/>
                <w:webHidden/>
              </w:rPr>
              <w:fldChar w:fldCharType="begin"/>
            </w:r>
            <w:r w:rsidR="00A314D4">
              <w:rPr>
                <w:noProof/>
                <w:webHidden/>
              </w:rPr>
              <w:instrText xml:space="preserve"> PAGEREF _Toc155881778 \h </w:instrText>
            </w:r>
            <w:r w:rsidR="00A314D4">
              <w:rPr>
                <w:noProof/>
                <w:webHidden/>
              </w:rPr>
            </w:r>
            <w:r w:rsidR="00A314D4">
              <w:rPr>
                <w:noProof/>
                <w:webHidden/>
              </w:rPr>
              <w:fldChar w:fldCharType="separate"/>
            </w:r>
            <w:r w:rsidR="0062233A">
              <w:rPr>
                <w:noProof/>
                <w:webHidden/>
              </w:rPr>
              <w:t>23</w:t>
            </w:r>
            <w:r w:rsidR="00A314D4">
              <w:rPr>
                <w:noProof/>
                <w:webHidden/>
              </w:rPr>
              <w:fldChar w:fldCharType="end"/>
            </w:r>
          </w:hyperlink>
        </w:p>
        <w:p w:rsidR="004220C9" w:rsidRDefault="009F500F" w:rsidP="00302D72">
          <w:pPr>
            <w:pStyle w:val="TM1"/>
            <w:rPr>
              <w:rFonts w:asciiTheme="minorHAnsi" w:eastAsiaTheme="minorEastAsia" w:hAnsiTheme="minorHAnsi" w:cstheme="minorBidi"/>
              <w:szCs w:val="22"/>
            </w:rPr>
          </w:pPr>
          <w:r>
            <w:rPr>
              <w:rStyle w:val="Sautdindex"/>
            </w:rPr>
            <w:fldChar w:fldCharType="end"/>
          </w:r>
        </w:p>
      </w:sdtContent>
    </w:sdt>
    <w:p w:rsidR="004220C9" w:rsidRDefault="004220C9" w:rsidP="0026470C">
      <w:pPr>
        <w:tabs>
          <w:tab w:val="left" w:pos="660"/>
        </w:tabs>
      </w:pPr>
    </w:p>
    <w:p w:rsidR="004220C9" w:rsidRDefault="004220C9">
      <w:pPr>
        <w:rPr>
          <w:b/>
        </w:rPr>
        <w:sectPr w:rsidR="004220C9" w:rsidSect="00411A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33" w:right="707" w:bottom="851" w:left="851" w:header="720" w:footer="354" w:gutter="0"/>
          <w:pgNumType w:start="1"/>
          <w:cols w:space="720"/>
          <w:formProt w:val="0"/>
          <w:docGrid w:linePitch="326"/>
        </w:sectPr>
      </w:pPr>
    </w:p>
    <w:p w:rsidR="004220C9" w:rsidRDefault="009F500F">
      <w:pPr>
        <w:pStyle w:val="Titre1"/>
      </w:pPr>
      <w:bookmarkStart w:id="3" w:name="_Toc155881765"/>
      <w:r>
        <w:lastRenderedPageBreak/>
        <w:t>Photos du véhicule accidenté.</w:t>
      </w:r>
      <w:bookmarkEnd w:id="3"/>
    </w:p>
    <w:p w:rsidR="004220C9" w:rsidRDefault="004220C9"/>
    <w:p w:rsidR="004220C9" w:rsidRDefault="004220C9"/>
    <w:tbl>
      <w:tblPr>
        <w:tblStyle w:val="Grilledutableau"/>
        <w:tblW w:w="10420" w:type="dxa"/>
        <w:jc w:val="center"/>
        <w:tblLayout w:type="fixed"/>
        <w:tblLook w:val="04A0" w:firstRow="1" w:lastRow="0" w:firstColumn="1" w:lastColumn="0" w:noHBand="0" w:noVBand="1"/>
      </w:tblPr>
      <w:tblGrid>
        <w:gridCol w:w="5353"/>
        <w:gridCol w:w="5067"/>
      </w:tblGrid>
      <w:tr w:rsidR="004220C9">
        <w:trPr>
          <w:jc w:val="center"/>
        </w:trPr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0C9" w:rsidRDefault="009F500F">
            <w:r>
              <w:rPr>
                <w:noProof/>
              </w:rPr>
              <w:drawing>
                <wp:inline distT="0" distB="0" distL="0" distR="0">
                  <wp:extent cx="3282950" cy="2459990"/>
                  <wp:effectExtent l="0" t="0" r="0" b="0"/>
                  <wp:docPr id="1" name="Image 2" descr="C:\Users\Mic\Documents\boulot\sujet\20210520_141858redime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" descr="C:\Users\Mic\Documents\boulot\sujet\20210520_141858redime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45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0C9" w:rsidRDefault="009F500F">
            <w:r>
              <w:rPr>
                <w:noProof/>
              </w:rPr>
              <w:drawing>
                <wp:inline distT="0" distB="0" distL="0" distR="0">
                  <wp:extent cx="3159125" cy="2367280"/>
                  <wp:effectExtent l="0" t="0" r="0" b="0"/>
                  <wp:docPr id="2" name="Image 3" descr="C:\Users\Mic\Documents\boulot\sujet\20210520_141848 redime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3" descr="C:\Users\Mic\Documents\boulot\sujet\20210520_141848 redime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0C9">
        <w:trPr>
          <w:jc w:val="center"/>
        </w:trPr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0C9" w:rsidRDefault="009F500F">
            <w:pPr>
              <w:jc w:val="left"/>
            </w:pPr>
            <w:r>
              <w:rPr>
                <w:noProof/>
              </w:rPr>
              <w:drawing>
                <wp:anchor distT="152400" distB="133350" distL="113030" distR="114935" simplePos="0" relativeHeight="31" behindDoc="0" locked="0" layoutInCell="1" allowOverlap="1">
                  <wp:simplePos x="0" y="0"/>
                  <wp:positionH relativeFrom="margin">
                    <wp:posOffset>-153670</wp:posOffset>
                  </wp:positionH>
                  <wp:positionV relativeFrom="margin">
                    <wp:posOffset>241300</wp:posOffset>
                  </wp:positionV>
                  <wp:extent cx="3524250" cy="3238500"/>
                  <wp:effectExtent l="0" t="0" r="0" b="0"/>
                  <wp:wrapSquare wrapText="bothSides"/>
                  <wp:docPr id="3" name="Image 28" descr="C:\Users\Mic\Documents\boulot\sujet\20210520_142220 redimen 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8" descr="C:\Users\Mic\Documents\boulot\sujet\20210520_142220 redimen S.jpg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rot="5400000">
                            <a:off x="0" y="0"/>
                            <a:ext cx="3524400" cy="3238560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0C9" w:rsidRDefault="009F500F">
            <w:r>
              <w:rPr>
                <w:noProof/>
              </w:rPr>
              <w:drawing>
                <wp:inline distT="0" distB="0" distL="0" distR="0">
                  <wp:extent cx="3035300" cy="4049395"/>
                  <wp:effectExtent l="0" t="0" r="0" b="0"/>
                  <wp:docPr id="5" name="Image 23" descr="C:\Users\Mic\Documents\boulot\sujet\20210520_142224 redime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3" descr="C:\Users\Mic\Documents\boulot\sujet\20210520_142224 redime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404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0C9" w:rsidRDefault="004220C9"/>
    <w:p w:rsidR="004220C9" w:rsidRDefault="004220C9">
      <w:pPr>
        <w:jc w:val="center"/>
      </w:pPr>
    </w:p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9F500F">
      <w:pPr>
        <w:pStyle w:val="Titre1"/>
      </w:pPr>
      <w:bookmarkStart w:id="4" w:name="_Toc155881766"/>
      <w:r>
        <w:lastRenderedPageBreak/>
        <w:t>Rapport d'expertise et son annexe.</w:t>
      </w:r>
      <w:bookmarkEnd w:id="4"/>
    </w:p>
    <w:p w:rsidR="004220C9" w:rsidRDefault="009F500F">
      <w:pPr>
        <w:jc w:val="center"/>
      </w:pPr>
      <w:r>
        <w:rPr>
          <w:noProof/>
        </w:rPr>
        <w:drawing>
          <wp:inline distT="0" distB="0" distL="0" distR="0">
            <wp:extent cx="5756910" cy="8137525"/>
            <wp:effectExtent l="0" t="0" r="0" b="0"/>
            <wp:docPr id="6" name="Image 38" descr="PV-1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8" descr="PV-1 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20C9" w:rsidRDefault="004220C9"/>
    <w:p w:rsidR="004220C9" w:rsidRDefault="009F500F">
      <w:pPr>
        <w:jc w:val="center"/>
      </w:pPr>
      <w:r>
        <w:rPr>
          <w:noProof/>
        </w:rPr>
        <w:lastRenderedPageBreak/>
        <w:drawing>
          <wp:inline distT="0" distB="0" distL="0" distR="0">
            <wp:extent cx="6242050" cy="8701405"/>
            <wp:effectExtent l="0" t="0" r="0" b="0"/>
            <wp:docPr id="7" name="Image 40" descr="PV-2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0" descr="PV-2 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70140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</w:pPr>
      <w:r>
        <w:rPr>
          <w:noProof/>
        </w:rPr>
        <w:lastRenderedPageBreak/>
        <w:drawing>
          <wp:inline distT="0" distB="0" distL="0" distR="0">
            <wp:extent cx="6158230" cy="8705850"/>
            <wp:effectExtent l="0" t="0" r="0" b="0"/>
            <wp:docPr id="8" name="Image 41" descr="P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1" descr="PV-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7058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</w:pPr>
      <w:r>
        <w:rPr>
          <w:noProof/>
        </w:rPr>
        <w:lastRenderedPageBreak/>
        <w:drawing>
          <wp:inline distT="0" distB="0" distL="0" distR="0">
            <wp:extent cx="6174105" cy="8750300"/>
            <wp:effectExtent l="0" t="0" r="0" b="0"/>
            <wp:docPr id="9" name="Image 43" descr="PV-4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3" descr="PV-4 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75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</w:pPr>
      <w:r>
        <w:rPr>
          <w:noProof/>
        </w:rPr>
        <w:lastRenderedPageBreak/>
        <w:drawing>
          <wp:inline distT="0" distB="0" distL="0" distR="0">
            <wp:extent cx="6080125" cy="8782050"/>
            <wp:effectExtent l="0" t="0" r="0" b="0"/>
            <wp:docPr id="10" name="Image 45" descr="PV-5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45" descr="PV-5 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87820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20C9" w:rsidRDefault="009F500F">
      <w:pPr>
        <w:pStyle w:val="Titre1"/>
      </w:pPr>
      <w:bookmarkStart w:id="5" w:name="_Toc155881767"/>
      <w:r>
        <w:lastRenderedPageBreak/>
        <w:t>Article de loi du code de la route.</w:t>
      </w:r>
      <w:bookmarkEnd w:id="5"/>
      <w:r>
        <w:t xml:space="preserve"> </w:t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185287">
      <w:pPr>
        <w:pStyle w:val="name-article"/>
        <w:spacing w:before="280" w:after="280"/>
        <w:rPr>
          <w:rFonts w:ascii="Arial" w:hAnsi="Arial" w:cs="Arial"/>
        </w:rPr>
      </w:pPr>
      <w:hyperlink r:id="rId23">
        <w:r w:rsidR="009F500F">
          <w:rPr>
            <w:rStyle w:val="Lienhypertexte"/>
            <w:rFonts w:ascii="Arial" w:hAnsi="Arial" w:cs="Arial"/>
            <w:color w:val="auto"/>
          </w:rPr>
          <w:t>Article L327-3</w:t>
        </w:r>
      </w:hyperlink>
    </w:p>
    <w:p w:rsidR="004220C9" w:rsidRDefault="00185287">
      <w:pPr>
        <w:pStyle w:val="Date1"/>
        <w:spacing w:before="280" w:after="280"/>
        <w:rPr>
          <w:rFonts w:ascii="Arial" w:hAnsi="Arial" w:cs="Arial"/>
        </w:rPr>
      </w:pPr>
      <w:hyperlink r:id="rId24">
        <w:r w:rsidR="009F500F">
          <w:rPr>
            <w:rStyle w:val="Lienhypertexte"/>
            <w:rFonts w:ascii="Arial" w:hAnsi="Arial" w:cs="Arial"/>
            <w:color w:val="auto"/>
          </w:rPr>
          <w:t>Modifié par Décret n°</w:t>
        </w:r>
        <w:r w:rsidR="00B40D43">
          <w:rPr>
            <w:rStyle w:val="Lienhypertexte"/>
            <w:rFonts w:ascii="Arial" w:hAnsi="Arial" w:cs="Arial"/>
            <w:color w:val="auto"/>
          </w:rPr>
          <w:t xml:space="preserve"> </w:t>
        </w:r>
        <w:r w:rsidR="009F500F">
          <w:rPr>
            <w:rStyle w:val="Lienhypertexte"/>
            <w:rFonts w:ascii="Arial" w:hAnsi="Arial" w:cs="Arial"/>
            <w:color w:val="auto"/>
          </w:rPr>
          <w:t>2009-397 du 10 avril 2009 - art. 1</w:t>
        </w:r>
        <w:r w:rsidR="009F500F">
          <w:rPr>
            <w:rStyle w:val="Lienhypertexte"/>
            <w:rFonts w:ascii="Arial" w:hAnsi="Arial" w:cs="Arial"/>
          </w:rPr>
          <w:br/>
        </w:r>
      </w:hyperlink>
    </w:p>
    <w:p w:rsidR="004220C9" w:rsidRDefault="009F500F" w:rsidP="00236EDB">
      <w:pPr>
        <w:pStyle w:val="NormalWeb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cas de refus du propriétaire de céder le véhicule à l'assureur ou de silence dans le délai fixé à l'article </w:t>
      </w:r>
      <w:hyperlink r:id="rId25">
        <w:r>
          <w:rPr>
            <w:rStyle w:val="Lienhypertexte"/>
            <w:rFonts w:ascii="Arial" w:hAnsi="Arial" w:cs="Arial"/>
            <w:color w:val="auto"/>
          </w:rPr>
          <w:t>L. 327-1</w:t>
        </w:r>
      </w:hyperlink>
      <w:r>
        <w:rPr>
          <w:rFonts w:ascii="Arial" w:hAnsi="Arial" w:cs="Arial"/>
        </w:rPr>
        <w:t xml:space="preserve">, l'assureur doit en informer l'autorité administrative compétente. </w:t>
      </w:r>
    </w:p>
    <w:p w:rsidR="004220C9" w:rsidRDefault="009F500F" w:rsidP="00236EDB">
      <w:pPr>
        <w:pStyle w:val="NormalWeb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Celle-ci procède alors, pendant la durée nécessaire et jusqu'à ce que le propriétaire l'ait informée que le véhicule a été réparé, à l'inscription d'une opposition à tout transfert du certificat d'immatriculation. Elle en informe le propriétaire par lettre simple. </w:t>
      </w:r>
    </w:p>
    <w:p w:rsidR="004220C9" w:rsidRDefault="009F500F" w:rsidP="00236EDB">
      <w:pPr>
        <w:pStyle w:val="NormalWeb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>Pour obtenir la levée de cette opposition, le propriétaire doit présenter un second rapport d'expertise certifiant que ledit véhicule a fait l'objet des rép</w:t>
      </w:r>
      <w:r w:rsidR="00236EDB">
        <w:rPr>
          <w:rFonts w:ascii="Arial" w:hAnsi="Arial" w:cs="Arial"/>
        </w:rPr>
        <w:t xml:space="preserve">arations touchant à la sécurité </w:t>
      </w:r>
      <w:r>
        <w:rPr>
          <w:rFonts w:ascii="Arial" w:hAnsi="Arial" w:cs="Arial"/>
        </w:rPr>
        <w:t xml:space="preserve">prévues par le premier rapport d'expertise et que le véhicule est en état de circuler dans des conditions normales de sécurité. </w:t>
      </w:r>
    </w:p>
    <w:p w:rsidR="004220C9" w:rsidRDefault="009F500F" w:rsidP="00236EDB">
      <w:pPr>
        <w:pStyle w:val="NormalWeb"/>
        <w:spacing w:before="280" w:after="280"/>
        <w:jc w:val="both"/>
        <w:rPr>
          <w:rFonts w:ascii="Arial" w:hAnsi="Arial" w:cs="Arial"/>
        </w:rPr>
      </w:pPr>
      <w:r>
        <w:rPr>
          <w:rFonts w:ascii="Arial" w:hAnsi="Arial" w:cs="Arial"/>
        </w:rPr>
        <w:t>Un arrêté interministériel fixe la valeur de la chose assurée au moment du sinistre à partir de laquelle les dispositions prévues au présent article sont applicables.</w:t>
      </w:r>
    </w:p>
    <w:p w:rsidR="004220C9" w:rsidRDefault="004220C9">
      <w:pPr>
        <w:jc w:val="center"/>
        <w:rPr>
          <w:rFonts w:cs="Arial"/>
        </w:rPr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pStyle w:val="Titre1"/>
        <w:rPr>
          <w:szCs w:val="22"/>
        </w:rPr>
      </w:pPr>
      <w:bookmarkStart w:id="6" w:name="_Toc155881768"/>
      <w:r>
        <w:lastRenderedPageBreak/>
        <w:t xml:space="preserve">Liste des valeurs des points de mesure du soubassement avec l'appareil </w:t>
      </w:r>
      <w:r>
        <w:rPr>
          <w:szCs w:val="22"/>
        </w:rPr>
        <w:t>Shark de Blackhawk.</w:t>
      </w:r>
      <w:bookmarkEnd w:id="6"/>
    </w:p>
    <w:p w:rsidR="004220C9" w:rsidRDefault="004220C9">
      <w:pPr>
        <w:jc w:val="center"/>
      </w:pPr>
    </w:p>
    <w:p w:rsidR="004220C9" w:rsidRDefault="009F500F">
      <w:pPr>
        <w:jc w:val="left"/>
        <w:rPr>
          <w:rFonts w:cs="Arial"/>
          <w:szCs w:val="22"/>
        </w:rPr>
      </w:pPr>
      <w:r>
        <w:rPr>
          <w:noProof/>
        </w:rPr>
        <w:drawing>
          <wp:inline distT="0" distB="0" distL="0" distR="0">
            <wp:extent cx="6332220" cy="730440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>
      <w:pPr>
        <w:rPr>
          <w:rFonts w:cs="Arial"/>
          <w:szCs w:val="22"/>
        </w:rPr>
      </w:pPr>
    </w:p>
    <w:p w:rsidR="004220C9" w:rsidRDefault="004220C9">
      <w:pPr>
        <w:rPr>
          <w:rFonts w:cs="Arial"/>
          <w:szCs w:val="22"/>
        </w:rPr>
      </w:pPr>
    </w:p>
    <w:p w:rsidR="004220C9" w:rsidRDefault="004220C9">
      <w:pPr>
        <w:rPr>
          <w:rFonts w:cs="Arial"/>
          <w:szCs w:val="22"/>
        </w:rPr>
      </w:pPr>
    </w:p>
    <w:p w:rsidR="004220C9" w:rsidRDefault="004220C9">
      <w:pPr>
        <w:rPr>
          <w:rFonts w:cs="Arial"/>
          <w:szCs w:val="22"/>
        </w:rPr>
      </w:pPr>
    </w:p>
    <w:p w:rsidR="004220C9" w:rsidRDefault="009F500F">
      <w:pPr>
        <w:pStyle w:val="Titre1"/>
      </w:pPr>
      <w:bookmarkStart w:id="7" w:name="_Toc155881769"/>
      <w:r>
        <w:lastRenderedPageBreak/>
        <w:t xml:space="preserve">Plan de soubassement du véhicule pour l'appareil </w:t>
      </w:r>
      <w:r>
        <w:rPr>
          <w:szCs w:val="22"/>
        </w:rPr>
        <w:t>Shark de Blackhawk.</w:t>
      </w:r>
      <w:bookmarkEnd w:id="7"/>
    </w:p>
    <w:p w:rsidR="004220C9" w:rsidRDefault="009F500F">
      <w:pPr>
        <w:jc w:val="center"/>
        <w:rPr>
          <w:rFonts w:cs="Arial"/>
          <w:szCs w:val="22"/>
        </w:rPr>
      </w:pPr>
      <w:r>
        <w:rPr>
          <w:noProof/>
        </w:rPr>
        <w:drawing>
          <wp:inline distT="0" distB="0" distL="0" distR="0">
            <wp:extent cx="6479540" cy="4568825"/>
            <wp:effectExtent l="0" t="0" r="0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>
      <w:pPr>
        <w:rPr>
          <w:rFonts w:cs="Arial"/>
          <w:szCs w:val="22"/>
        </w:rPr>
      </w:pPr>
    </w:p>
    <w:p w:rsidR="004220C9" w:rsidRDefault="009F500F">
      <w:pPr>
        <w:rPr>
          <w:rFonts w:cs="Arial"/>
          <w:szCs w:val="22"/>
        </w:rPr>
      </w:pPr>
      <w:r>
        <w:rPr>
          <w:noProof/>
        </w:rPr>
        <w:drawing>
          <wp:inline distT="0" distB="0" distL="0" distR="0">
            <wp:extent cx="6626225" cy="350393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299835" cy="3248660"/>
            <wp:effectExtent l="0" t="0" r="0" b="0"/>
            <wp:docPr id="1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9F500F">
      <w:pPr>
        <w:jc w:val="center"/>
        <w:rPr>
          <w:rFonts w:cs="Arial"/>
          <w:szCs w:val="22"/>
        </w:rPr>
      </w:pPr>
      <w:r>
        <w:rPr>
          <w:noProof/>
        </w:rPr>
        <w:drawing>
          <wp:inline distT="0" distB="0" distL="0" distR="0">
            <wp:extent cx="6299835" cy="2628265"/>
            <wp:effectExtent l="0" t="0" r="0" b="0"/>
            <wp:docPr id="1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4220C9">
      <w:pPr>
        <w:jc w:val="center"/>
        <w:rPr>
          <w:rFonts w:cs="Arial"/>
          <w:szCs w:val="22"/>
        </w:rPr>
      </w:pPr>
    </w:p>
    <w:p w:rsidR="004220C9" w:rsidRDefault="00B40D43">
      <w:pPr>
        <w:pStyle w:val="Titre1"/>
      </w:pPr>
      <w:bookmarkStart w:id="8" w:name="_Toc155881770"/>
      <w:r>
        <w:lastRenderedPageBreak/>
        <w:t>Procédure de mise hors/en service du véhicule avant/</w:t>
      </w:r>
      <w:r w:rsidR="009F500F">
        <w:t>après travaux.</w:t>
      </w:r>
      <w:bookmarkEnd w:id="8"/>
    </w:p>
    <w:p w:rsidR="004220C9" w:rsidRDefault="004220C9"/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1. Mise hors service :</w:t>
      </w:r>
    </w:p>
    <w:p w:rsidR="004220C9" w:rsidRDefault="009F500F">
      <w:pPr>
        <w:jc w:val="center"/>
      </w:pPr>
      <w:r>
        <w:rPr>
          <w:noProof/>
        </w:rPr>
        <w:drawing>
          <wp:inline distT="0" distB="0" distL="0" distR="0">
            <wp:extent cx="5119370" cy="3247390"/>
            <wp:effectExtent l="0" t="0" r="0" b="0"/>
            <wp:docPr id="1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/>
    <w:p w:rsidR="004220C9" w:rsidRDefault="009F500F">
      <w:pPr>
        <w:pStyle w:val="Paragraphedeliste"/>
        <w:numPr>
          <w:ilvl w:val="0"/>
          <w:numId w:val="3"/>
        </w:numPr>
        <w:rPr>
          <w:rFonts w:cs="Arial"/>
          <w:sz w:val="24"/>
        </w:rPr>
      </w:pPr>
      <w:r>
        <w:rPr>
          <w:rFonts w:cs="Arial"/>
          <w:sz w:val="24"/>
        </w:rPr>
        <w:t>Desserrer puis débrancher le câble négatif (1) de la batterie de servitude.</w:t>
      </w:r>
    </w:p>
    <w:p w:rsidR="004220C9" w:rsidRDefault="009F500F">
      <w:pPr>
        <w:pStyle w:val="Paragraphedeliste"/>
        <w:numPr>
          <w:ilvl w:val="0"/>
          <w:numId w:val="3"/>
        </w:numPr>
        <w:rPr>
          <w:rFonts w:cs="Arial"/>
          <w:sz w:val="24"/>
        </w:rPr>
      </w:pPr>
      <w:r>
        <w:rPr>
          <w:rFonts w:cs="Arial"/>
          <w:sz w:val="24"/>
        </w:rPr>
        <w:t>Protéger le câble et la borne négative pour éviter tout contact.</w:t>
      </w:r>
    </w:p>
    <w:p w:rsidR="004220C9" w:rsidRDefault="004220C9">
      <w:pPr>
        <w:rPr>
          <w:rFonts w:cs="Arial"/>
          <w:sz w:val="24"/>
        </w:rPr>
      </w:pP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ATTENTION : Attendre un minimum de 5 minutes avant toutes interventions (décharge de la réserve d’énergie du calculateur des coussins gonflables).</w:t>
      </w: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ATTENTION : En aucun cas le calculateur ne doit être déposé connecteur branché.</w:t>
      </w:r>
    </w:p>
    <w:p w:rsidR="004220C9" w:rsidRDefault="004220C9">
      <w:pPr>
        <w:rPr>
          <w:rFonts w:cs="Arial"/>
          <w:sz w:val="24"/>
        </w:rPr>
      </w:pPr>
    </w:p>
    <w:p w:rsidR="004220C9" w:rsidRDefault="009F500F">
      <w:pPr>
        <w:pStyle w:val="Paragraphedeliste"/>
        <w:numPr>
          <w:ilvl w:val="0"/>
          <w:numId w:val="4"/>
        </w:numPr>
        <w:rPr>
          <w:rFonts w:cs="Arial"/>
          <w:sz w:val="24"/>
        </w:rPr>
      </w:pPr>
      <w:r>
        <w:rPr>
          <w:rFonts w:cs="Arial"/>
          <w:sz w:val="24"/>
        </w:rPr>
        <w:t>Déconnecter le connecteur du calculateur de coussins gonflables.</w:t>
      </w:r>
    </w:p>
    <w:p w:rsidR="004220C9" w:rsidRDefault="004220C9">
      <w:pPr>
        <w:rPr>
          <w:rFonts w:cs="Arial"/>
          <w:sz w:val="24"/>
        </w:rPr>
      </w:pP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2. Mise en service :</w:t>
      </w: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IMP</w:t>
      </w:r>
      <w:r w:rsidR="00B40D43">
        <w:rPr>
          <w:rFonts w:cs="Arial"/>
          <w:sz w:val="24"/>
        </w:rPr>
        <w:t>É</w:t>
      </w:r>
      <w:r>
        <w:rPr>
          <w:rFonts w:cs="Arial"/>
          <w:sz w:val="24"/>
        </w:rPr>
        <w:t>RATIF : L’environnement des coussins gonflables et des ceintures pyrotechniques doit être dégagé, sans objets ni occupants.</w:t>
      </w:r>
    </w:p>
    <w:p w:rsidR="004220C9" w:rsidRDefault="009F500F">
      <w:pPr>
        <w:pStyle w:val="Paragraphedeliste"/>
        <w:numPr>
          <w:ilvl w:val="0"/>
          <w:numId w:val="4"/>
        </w:numPr>
        <w:rPr>
          <w:rFonts w:cs="Arial"/>
          <w:sz w:val="24"/>
        </w:rPr>
      </w:pPr>
      <w:r>
        <w:rPr>
          <w:rFonts w:cs="Arial"/>
          <w:sz w:val="24"/>
        </w:rPr>
        <w:t xml:space="preserve">Contact coupé : </w:t>
      </w:r>
      <w:r w:rsidR="00B40D43">
        <w:rPr>
          <w:rFonts w:cs="Arial"/>
          <w:sz w:val="24"/>
        </w:rPr>
        <w:t>c</w:t>
      </w:r>
      <w:r>
        <w:rPr>
          <w:rFonts w:cs="Arial"/>
          <w:sz w:val="24"/>
        </w:rPr>
        <w:t>onnecter le connecteur du calculateur de coussins gonflables.</w:t>
      </w:r>
    </w:p>
    <w:p w:rsidR="004220C9" w:rsidRDefault="009F500F">
      <w:pPr>
        <w:pStyle w:val="Paragraphedeliste"/>
        <w:numPr>
          <w:ilvl w:val="0"/>
          <w:numId w:val="4"/>
        </w:numPr>
        <w:rPr>
          <w:rFonts w:cs="Arial"/>
          <w:sz w:val="24"/>
        </w:rPr>
      </w:pPr>
      <w:r>
        <w:rPr>
          <w:rFonts w:cs="Arial"/>
          <w:sz w:val="24"/>
        </w:rPr>
        <w:t>Rebrancher le câble négatif de la batterie de servitude.</w:t>
      </w:r>
    </w:p>
    <w:p w:rsidR="004220C9" w:rsidRDefault="009F500F">
      <w:pPr>
        <w:pStyle w:val="Paragraphedeliste"/>
        <w:numPr>
          <w:ilvl w:val="0"/>
          <w:numId w:val="4"/>
        </w:numPr>
        <w:rPr>
          <w:rFonts w:cs="Arial"/>
          <w:sz w:val="24"/>
        </w:rPr>
      </w:pPr>
      <w:r>
        <w:rPr>
          <w:rFonts w:cs="Arial"/>
          <w:sz w:val="24"/>
        </w:rPr>
        <w:t>Côté conducteur, porte ouverte, mettre le contact, tout en dégageant la zone de déploiement du module volant de direction.</w:t>
      </w:r>
    </w:p>
    <w:p w:rsidR="004220C9" w:rsidRDefault="009F500F">
      <w:pPr>
        <w:pStyle w:val="Paragraphedeliste"/>
        <w:numPr>
          <w:ilvl w:val="0"/>
          <w:numId w:val="4"/>
        </w:numPr>
        <w:rPr>
          <w:rFonts w:cs="Arial"/>
          <w:sz w:val="24"/>
        </w:rPr>
      </w:pPr>
      <w:r>
        <w:rPr>
          <w:rFonts w:cs="Arial"/>
          <w:sz w:val="24"/>
        </w:rPr>
        <w:t>Contrôler le bon fonctionnement du système par les voyants de défauts coussin gonflable.</w:t>
      </w:r>
    </w:p>
    <w:p w:rsidR="004220C9" w:rsidRDefault="004220C9">
      <w:pPr>
        <w:rPr>
          <w:rFonts w:cs="Arial"/>
          <w:sz w:val="24"/>
        </w:rPr>
      </w:pP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NOTA : Après débranchement de la batterie, certains systèmes électroniques (injection, lève-vitre anti-pincement...) nécessitent</w:t>
      </w:r>
      <w:r w:rsidR="00236EDB">
        <w:rPr>
          <w:rFonts w:cs="Arial"/>
          <w:sz w:val="24"/>
        </w:rPr>
        <w:t xml:space="preserve"> une procédure d’initialisation. </w:t>
      </w:r>
      <w:r>
        <w:rPr>
          <w:rFonts w:cs="Arial"/>
          <w:sz w:val="24"/>
        </w:rPr>
        <w:t>Effectuer les procédures d’initialisations correspondantes.</w:t>
      </w:r>
    </w:p>
    <w:p w:rsidR="004220C9" w:rsidRDefault="004220C9"/>
    <w:p w:rsidR="004220C9" w:rsidRDefault="009F500F">
      <w:pPr>
        <w:pStyle w:val="Titre1"/>
      </w:pPr>
      <w:bookmarkStart w:id="9" w:name="_Toc155881771"/>
      <w:r>
        <w:lastRenderedPageBreak/>
        <w:t>Extrait de méthodologie du constructeur pour le remplacement du longeron complet.</w:t>
      </w:r>
      <w:bookmarkEnd w:id="9"/>
    </w:p>
    <w:p w:rsidR="004220C9" w:rsidRDefault="004220C9">
      <w:pPr>
        <w:jc w:val="left"/>
        <w:rPr>
          <w:rFonts w:ascii="ArialUnicodeMS-WinCharSetFFFF-H" w:hAnsi="ArialUnicodeMS-WinCharSetFFFF-H" w:cs="ArialUnicodeMS-WinCharSetFFFF-H"/>
          <w:color w:val="000000"/>
          <w:sz w:val="12"/>
          <w:szCs w:val="12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1. Composition du longeron avant droit :</w:t>
      </w:r>
    </w:p>
    <w:p w:rsidR="004220C9" w:rsidRDefault="004220C9">
      <w:pPr>
        <w:jc w:val="left"/>
        <w:rPr>
          <w:rFonts w:cs="Arial"/>
          <w:sz w:val="6"/>
          <w:szCs w:val="6"/>
        </w:rPr>
      </w:pP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3007995" cy="1819275"/>
            <wp:effectExtent l="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23"/>
          <w:szCs w:val="23"/>
        </w:rPr>
      </w:pPr>
      <w:r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  <w:t>Figure : C4AH1WID</w:t>
      </w:r>
    </w:p>
    <w:p w:rsidR="004220C9" w:rsidRDefault="004220C9">
      <w:pPr>
        <w:jc w:val="left"/>
        <w:rPr>
          <w:rFonts w:cs="Arial"/>
          <w:sz w:val="12"/>
          <w:szCs w:val="12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97"/>
        <w:gridCol w:w="4481"/>
        <w:gridCol w:w="1585"/>
        <w:gridCol w:w="2831"/>
      </w:tblGrid>
      <w:tr w:rsidR="004220C9"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Repère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 xml:space="preserve">Désignation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Épaisseur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Nature / classification</w:t>
            </w:r>
          </w:p>
        </w:tc>
      </w:tr>
      <w:tr w:rsidR="004220C9"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(1)</w:t>
            </w:r>
          </w:p>
        </w:tc>
        <w:tc>
          <w:tcPr>
            <w:tcW w:w="4485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left"/>
              <w:rPr>
                <w:sz w:val="24"/>
              </w:rPr>
            </w:pPr>
            <w:r>
              <w:rPr>
                <w:rFonts w:cs="Arial"/>
                <w:sz w:val="24"/>
              </w:rPr>
              <w:t>Longeron avant droit - -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4220C9">
            <w:pPr>
              <w:pStyle w:val="Contenudetableau"/>
              <w:jc w:val="center"/>
              <w:rPr>
                <w:sz w:val="24"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0C9" w:rsidRDefault="004220C9">
            <w:pPr>
              <w:pStyle w:val="Contenudetableau"/>
              <w:jc w:val="center"/>
              <w:rPr>
                <w:sz w:val="24"/>
              </w:rPr>
            </w:pPr>
          </w:p>
        </w:tc>
      </w:tr>
      <w:tr w:rsidR="004220C9"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(1a)</w:t>
            </w:r>
          </w:p>
        </w:tc>
        <w:tc>
          <w:tcPr>
            <w:tcW w:w="4485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left"/>
              <w:rPr>
                <w:sz w:val="24"/>
              </w:rPr>
            </w:pPr>
            <w:r>
              <w:rPr>
                <w:rFonts w:cs="Arial"/>
                <w:sz w:val="24"/>
              </w:rPr>
              <w:t>Cloison arrière de longeron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1,95 mm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THLE</w:t>
            </w:r>
          </w:p>
        </w:tc>
      </w:tr>
      <w:tr w:rsidR="004220C9"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(1b)</w:t>
            </w:r>
          </w:p>
        </w:tc>
        <w:tc>
          <w:tcPr>
            <w:tcW w:w="4485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left"/>
              <w:rPr>
                <w:sz w:val="24"/>
              </w:rPr>
            </w:pPr>
            <w:r>
              <w:rPr>
                <w:rFonts w:cs="Arial"/>
                <w:sz w:val="24"/>
              </w:rPr>
              <w:t>Longeron avant droit (partie arrière)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1,95 mm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THLE</w:t>
            </w:r>
          </w:p>
        </w:tc>
      </w:tr>
      <w:tr w:rsidR="004220C9"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(1c)</w:t>
            </w:r>
          </w:p>
        </w:tc>
        <w:tc>
          <w:tcPr>
            <w:tcW w:w="4485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left"/>
              <w:rPr>
                <w:sz w:val="24"/>
              </w:rPr>
            </w:pPr>
            <w:r>
              <w:rPr>
                <w:rFonts w:cs="Arial"/>
                <w:sz w:val="24"/>
              </w:rPr>
              <w:t>Cloison avant de longeron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1,37 m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THLE</w:t>
            </w:r>
          </w:p>
        </w:tc>
      </w:tr>
      <w:tr w:rsidR="004220C9"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(1d)</w:t>
            </w:r>
          </w:p>
        </w:tc>
        <w:tc>
          <w:tcPr>
            <w:tcW w:w="4485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left"/>
              <w:rPr>
                <w:sz w:val="24"/>
              </w:rPr>
            </w:pPr>
            <w:r>
              <w:rPr>
                <w:rFonts w:cs="Arial"/>
                <w:sz w:val="24"/>
              </w:rPr>
              <w:t>Longeron avant droit (partie avant)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1,76 mm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THLE</w:t>
            </w:r>
          </w:p>
        </w:tc>
      </w:tr>
      <w:tr w:rsidR="004220C9"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(1e)</w:t>
            </w:r>
          </w:p>
        </w:tc>
        <w:tc>
          <w:tcPr>
            <w:tcW w:w="4485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left"/>
              <w:rPr>
                <w:sz w:val="24"/>
              </w:rPr>
            </w:pPr>
            <w:r>
              <w:rPr>
                <w:rFonts w:cs="Arial"/>
                <w:sz w:val="24"/>
              </w:rPr>
              <w:t>Appui absorbeur pare-chocs avant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3 mm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0C9" w:rsidRDefault="009F500F">
            <w:pPr>
              <w:jc w:val="center"/>
              <w:rPr>
                <w:sz w:val="24"/>
              </w:rPr>
            </w:pPr>
            <w:r>
              <w:rPr>
                <w:rFonts w:cs="Arial"/>
                <w:sz w:val="24"/>
              </w:rPr>
              <w:t>THLE</w:t>
            </w:r>
          </w:p>
        </w:tc>
      </w:tr>
    </w:tbl>
    <w:p w:rsidR="004220C9" w:rsidRDefault="004220C9">
      <w:pPr>
        <w:jc w:val="left"/>
        <w:rPr>
          <w:sz w:val="6"/>
          <w:szCs w:val="6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ATTENTION : Tenir compte de la différence d’épaisseur de la pièce pour le réglage du poste de soudure.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>2. Préparation de la pièce de rechange :</w:t>
      </w: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>ATTENTION : Lors du nettoyage des bords d’accostage, utiliser uniquement des roues de décapage pour ne pas détériorer la protection anticorrosion.</w:t>
      </w:r>
    </w:p>
    <w:p w:rsidR="004220C9" w:rsidRDefault="004220C9">
      <w:pPr>
        <w:jc w:val="left"/>
        <w:rPr>
          <w:rFonts w:cs="Arial"/>
          <w:sz w:val="12"/>
          <w:szCs w:val="12"/>
        </w:rPr>
      </w:pP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noProof/>
        </w:rPr>
        <w:drawing>
          <wp:inline distT="0" distB="0" distL="0" distR="0">
            <wp:extent cx="3126105" cy="1890395"/>
            <wp:effectExtent l="0" t="0" r="0" b="0"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  <w:t>Figure : C4AH20GD</w:t>
      </w:r>
    </w:p>
    <w:p w:rsidR="004220C9" w:rsidRDefault="004220C9">
      <w:pPr>
        <w:jc w:val="center"/>
        <w:rPr>
          <w:sz w:val="12"/>
          <w:szCs w:val="12"/>
        </w:rPr>
      </w:pPr>
    </w:p>
    <w:p w:rsidR="004220C9" w:rsidRDefault="009F500F" w:rsidP="00236EDB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Tracer puis percer au diamètre 8 mm pour soudage ultérieur par points bouchons.</w:t>
      </w:r>
    </w:p>
    <w:p w:rsidR="004220C9" w:rsidRDefault="009F500F" w:rsidP="00236EDB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Préparer les bords d’accostage et les protéger par un apprêt soudable (indice "C7").</w:t>
      </w:r>
    </w:p>
    <w:p w:rsidR="004220C9" w:rsidRDefault="009F500F" w:rsidP="00236EDB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NOTA : Appliquer l’apprêt soudable sur les faces internes des tôles à souder.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3. Nettoyage et préparation de la caisse :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noProof/>
        </w:rPr>
        <w:drawing>
          <wp:inline distT="0" distB="0" distL="0" distR="0">
            <wp:extent cx="3780155" cy="2306320"/>
            <wp:effectExtent l="0" t="0" r="0" b="0"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  <w:t>Figure : C4AH20JD</w:t>
      </w:r>
    </w:p>
    <w:p w:rsidR="004220C9" w:rsidRDefault="004220C9" w:rsidP="00236EDB">
      <w:pPr>
        <w:rPr>
          <w:rFonts w:cs="Arial"/>
          <w:sz w:val="24"/>
        </w:rPr>
      </w:pP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 xml:space="preserve">Préparer les bords d’accostage et les protéger par un apprêt soudable (indice </w:t>
      </w:r>
      <w:r w:rsidR="00B40D43">
        <w:rPr>
          <w:rFonts w:cs="Arial"/>
          <w:sz w:val="24"/>
        </w:rPr>
        <w:t>« </w:t>
      </w:r>
      <w:r>
        <w:rPr>
          <w:rFonts w:cs="Arial"/>
          <w:sz w:val="24"/>
        </w:rPr>
        <w:t>C7</w:t>
      </w:r>
      <w:r w:rsidR="00B40D43">
        <w:rPr>
          <w:rFonts w:cs="Arial"/>
          <w:sz w:val="24"/>
        </w:rPr>
        <w:t> »</w:t>
      </w:r>
      <w:r>
        <w:rPr>
          <w:rFonts w:cs="Arial"/>
          <w:sz w:val="24"/>
        </w:rPr>
        <w:t>).</w:t>
      </w: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>NOTA : Appliquer l’apprêt soudable sur les faces internes des tôles à souder.</w:t>
      </w:r>
    </w:p>
    <w:p w:rsidR="004220C9" w:rsidRDefault="004220C9" w:rsidP="00236EDB">
      <w:pPr>
        <w:rPr>
          <w:rFonts w:ascii="ArialUnicodeMS-WinCharSetFFFF-H" w:hAnsi="ArialUnicodeMS-WinCharSetFFFF-H" w:cs="ArialUnicodeMS-WinCharSetFFFF-H"/>
          <w:color w:val="000000"/>
          <w:sz w:val="25"/>
          <w:szCs w:val="25"/>
        </w:rPr>
      </w:pPr>
    </w:p>
    <w:p w:rsidR="004220C9" w:rsidRDefault="004220C9" w:rsidP="00236EDB">
      <w:pPr>
        <w:rPr>
          <w:rFonts w:ascii="ArialUnicodeMS-WinCharSetFFFF-H" w:hAnsi="ArialUnicodeMS-WinCharSetFFFF-H" w:cs="ArialUnicodeMS-WinCharSetFFFF-H"/>
          <w:color w:val="000000"/>
          <w:sz w:val="25"/>
          <w:szCs w:val="25"/>
        </w:rPr>
      </w:pP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>4. Soudage :</w:t>
      </w: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>ATTENTION : Le nombre de points ou de cordons de soudure nécessaire à l’assemblage d’une pièce neuve doit être identique au nombre de points ou de cordons de soudure fixant la pièce d’origine.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noProof/>
        </w:rPr>
        <w:drawing>
          <wp:inline distT="0" distB="0" distL="0" distR="0">
            <wp:extent cx="3780155" cy="2313305"/>
            <wp:effectExtent l="0" t="0" r="0" b="0"/>
            <wp:docPr id="20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  <w:t>Figure : C4AH20KD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>Souder par points bouchons MAG.</w:t>
      </w:r>
    </w:p>
    <w:p w:rsidR="004220C9" w:rsidRDefault="009F500F" w:rsidP="00236EDB">
      <w:pPr>
        <w:rPr>
          <w:rFonts w:cs="Arial"/>
          <w:sz w:val="24"/>
        </w:rPr>
      </w:pPr>
      <w:r>
        <w:rPr>
          <w:rFonts w:cs="Arial"/>
          <w:sz w:val="24"/>
        </w:rPr>
        <w:t>Meuler les points bouchons.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>
            <wp:extent cx="3780155" cy="2299970"/>
            <wp:effectExtent l="0" t="0" r="0" b="0"/>
            <wp:docPr id="2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  <w:t>Figure : C4AH20LD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B40D43">
      <w:pPr>
        <w:jc w:val="left"/>
        <w:rPr>
          <w:rFonts w:cs="Arial"/>
          <w:sz w:val="24"/>
        </w:rPr>
      </w:pPr>
      <w:r>
        <w:rPr>
          <w:rFonts w:cs="Arial"/>
          <w:sz w:val="24"/>
        </w:rPr>
        <w:t xml:space="preserve">« A » </w:t>
      </w:r>
      <w:r w:rsidR="009F500F">
        <w:rPr>
          <w:rFonts w:cs="Arial"/>
          <w:sz w:val="24"/>
        </w:rPr>
        <w:t>= 50 mm.</w:t>
      </w: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Souder :</w:t>
      </w:r>
    </w:p>
    <w:p w:rsidR="004220C9" w:rsidRDefault="009F500F">
      <w:pPr>
        <w:pStyle w:val="Paragraphedeliste"/>
        <w:numPr>
          <w:ilvl w:val="0"/>
          <w:numId w:val="5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 xml:space="preserve">Par points bouchons (en </w:t>
      </w:r>
      <w:r w:rsidR="00B40D43">
        <w:rPr>
          <w:rFonts w:cs="Arial"/>
          <w:sz w:val="24"/>
        </w:rPr>
        <w:t>« </w:t>
      </w:r>
      <w:r>
        <w:rPr>
          <w:rFonts w:cs="Arial"/>
          <w:sz w:val="24"/>
        </w:rPr>
        <w:t>c</w:t>
      </w:r>
      <w:r w:rsidR="00B40D43">
        <w:rPr>
          <w:rFonts w:cs="Arial"/>
          <w:sz w:val="24"/>
        </w:rPr>
        <w:t> »</w:t>
      </w:r>
      <w:r>
        <w:rPr>
          <w:rFonts w:cs="Arial"/>
          <w:sz w:val="24"/>
        </w:rPr>
        <w:t>)</w:t>
      </w:r>
    </w:p>
    <w:p w:rsidR="004220C9" w:rsidRDefault="009F500F">
      <w:pPr>
        <w:pStyle w:val="Paragraphedeliste"/>
        <w:numPr>
          <w:ilvl w:val="0"/>
          <w:numId w:val="5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 xml:space="preserve">Par cordons MAG (en </w:t>
      </w:r>
      <w:r w:rsidR="00B40D43">
        <w:rPr>
          <w:rFonts w:cs="Arial"/>
          <w:sz w:val="24"/>
        </w:rPr>
        <w:t>« </w:t>
      </w:r>
      <w:r>
        <w:rPr>
          <w:rFonts w:cs="Arial"/>
          <w:sz w:val="24"/>
        </w:rPr>
        <w:t>d</w:t>
      </w:r>
      <w:r w:rsidR="00B40D43">
        <w:rPr>
          <w:rFonts w:cs="Arial"/>
          <w:sz w:val="24"/>
        </w:rPr>
        <w:t> »</w:t>
      </w:r>
      <w:r>
        <w:rPr>
          <w:rFonts w:cs="Arial"/>
          <w:sz w:val="24"/>
        </w:rPr>
        <w:t>)</w:t>
      </w:r>
    </w:p>
    <w:p w:rsidR="004220C9" w:rsidRDefault="004220C9">
      <w:pPr>
        <w:jc w:val="left"/>
        <w:rPr>
          <w:rFonts w:cs="Arial"/>
          <w:color w:val="000000"/>
          <w:sz w:val="24"/>
        </w:rPr>
      </w:pP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noProof/>
        </w:rPr>
        <w:drawing>
          <wp:inline distT="0" distB="0" distL="0" distR="0">
            <wp:extent cx="3780155" cy="2292985"/>
            <wp:effectExtent l="0" t="0" r="0" b="0"/>
            <wp:docPr id="2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</w:pPr>
      <w:r>
        <w:rPr>
          <w:rFonts w:ascii="ArialUnicodeMS-WinCharSetFFFF-H" w:hAnsi="ArialUnicodeMS-WinCharSetFFFF-H" w:cs="ArialUnicodeMS-WinCharSetFFFF-H"/>
          <w:color w:val="000000"/>
          <w:sz w:val="15"/>
          <w:szCs w:val="15"/>
        </w:rPr>
        <w:t>Figure : C4AH20ND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Souder par points électriques.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NOTA : Les points électriques restant seront effectués lors du soudage du support avant de berceau avant.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pStyle w:val="Titre1"/>
      </w:pPr>
      <w:bookmarkStart w:id="10" w:name="_Toc155881772"/>
      <w:r>
        <w:lastRenderedPageBreak/>
        <w:t>Extrait de la notice d'utilisation de la pointeuse SERP de GYS.</w:t>
      </w:r>
      <w:bookmarkEnd w:id="10"/>
    </w:p>
    <w:p w:rsidR="004220C9" w:rsidRDefault="004220C9"/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jc w:val="center"/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24765</wp:posOffset>
            </wp:positionV>
            <wp:extent cx="2614930" cy="4162425"/>
            <wp:effectExtent l="0" t="0" r="0" b="0"/>
            <wp:wrapNone/>
            <wp:docPr id="23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9" w:rsidRDefault="00A314D4">
      <w:pPr>
        <w:jc w:val="center"/>
      </w:pPr>
      <w:r>
        <w:rPr>
          <w:noProof/>
        </w:rPr>
        <mc:AlternateContent>
          <mc:Choice Requires="wps">
            <w:drawing>
              <wp:anchor distT="19050" distB="204470" distL="2247900" distR="27305" simplePos="0" relativeHeight="38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-1905</wp:posOffset>
                </wp:positionV>
                <wp:extent cx="2258695" cy="1700530"/>
                <wp:effectExtent l="2247900" t="19050" r="8255" b="18542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8695" cy="1700530"/>
                        </a:xfrm>
                        <a:prstGeom prst="wedgeRectCallout">
                          <a:avLst>
                            <a:gd name="adj1" fmla="val -142380"/>
                            <a:gd name="adj2" fmla="val 58440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4220C9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48" o:spid="_x0000_s1026" type="#_x0000_t61" style="position:absolute;left:0;text-align:left;margin-left:272.3pt;margin-top:-.15pt;width:177.85pt;height:133.9pt;z-index:38;visibility:visible;mso-wrap-style:square;mso-width-percent:0;mso-height-percent:0;mso-wrap-distance-left:177pt;mso-wrap-distance-top:1.5pt;mso-wrap-distance-right:2.15pt;mso-wrap-distance-bottom:16.1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" adj="-19954,23423" filled="f" strokeweight="3pt">
                <v:path arrowok="t"/>
                <v:textbox>
                  <w:txbxContent>
                    <w:p w:rsidR="004220C9" w:rsidRDefault="004220C9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  <w:r w:rsidR="009F500F"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69215</wp:posOffset>
            </wp:positionV>
            <wp:extent cx="2165350" cy="1589405"/>
            <wp:effectExtent l="0" t="0" r="0" b="0"/>
            <wp:wrapNone/>
            <wp:docPr id="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jc w:val="center"/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64770</wp:posOffset>
            </wp:positionV>
            <wp:extent cx="594995" cy="620395"/>
            <wp:effectExtent l="0" t="0" r="0" b="0"/>
            <wp:wrapNone/>
            <wp:docPr id="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B40D43">
      <w:pPr>
        <w:jc w:val="center"/>
      </w:pPr>
      <w:r>
        <w:rPr>
          <w:noProof/>
        </w:rPr>
        <mc:AlternateContent>
          <mc:Choice Requires="wps">
            <w:drawing>
              <wp:anchor distT="0" distB="6350" distL="0" distR="0" simplePos="0" relativeHeight="63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165101</wp:posOffset>
                </wp:positionV>
                <wp:extent cx="2486025" cy="55245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5524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écran de réglage du poste SERP avec la pince pneumatique en </w:t>
                            </w:r>
                            <w:r w:rsidR="00B40D43">
                              <w:rPr>
                                <w:i/>
                              </w:rPr>
                              <w:t>« </w:t>
                            </w:r>
                            <w:r>
                              <w:rPr>
                                <w:i/>
                              </w:rPr>
                              <w:t>C</w:t>
                            </w:r>
                            <w:r w:rsidR="00B40D43">
                              <w:rPr>
                                <w:i/>
                              </w:rPr>
                              <w:t> »</w:t>
                            </w:r>
                          </w:p>
                        </w:txbxContent>
                      </wps:txbx>
                      <wps:bodyPr wrap="square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7" style="position:absolute;left:0;text-align:left;margin-left:269.45pt;margin-top:13pt;width:195.75pt;height:43.5pt;z-index:63;visibility:visible;mso-wrap-style:square;mso-width-percent:0;mso-height-percent:0;mso-wrap-distance-left:0;mso-wrap-distance-top:0;mso-wrap-distance-right:0;mso-wrap-distance-bottom:.5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" filled="f" stroked="f" strokeweight="0">
                <v:path arrowok="t"/>
                <v:textbox>
                  <w:txbxContent>
                    <w:p w:rsidR="004220C9" w:rsidRDefault="009F500F">
                      <w:pPr>
                        <w:pStyle w:val="Contenudecadre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écran</w:t>
                      </w:r>
                      <w:proofErr w:type="gramEnd"/>
                      <w:r>
                        <w:rPr>
                          <w:i/>
                        </w:rPr>
                        <w:t xml:space="preserve"> de réglage du poste SERP avec la pince pneumatique en </w:t>
                      </w:r>
                      <w:r w:rsidR="00B40D43">
                        <w:rPr>
                          <w:i/>
                        </w:rPr>
                        <w:t>« </w:t>
                      </w:r>
                      <w:r>
                        <w:rPr>
                          <w:i/>
                        </w:rPr>
                        <w:t>C</w:t>
                      </w:r>
                      <w:r w:rsidR="00B40D43">
                        <w:rPr>
                          <w:i/>
                        </w:rPr>
                        <w:t> »</w:t>
                      </w:r>
                    </w:p>
                  </w:txbxContent>
                </v:textbox>
              </v:rect>
            </w:pict>
          </mc:Fallback>
        </mc:AlternateContent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jc w:val="center"/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98425</wp:posOffset>
            </wp:positionV>
            <wp:extent cx="594995" cy="620395"/>
            <wp:effectExtent l="0" t="0" r="0" b="0"/>
            <wp:wrapNone/>
            <wp:docPr id="28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A314D4">
      <w:pPr>
        <w:jc w:val="center"/>
      </w:pPr>
      <w:r>
        <w:rPr>
          <w:noProof/>
        </w:rPr>
        <mc:AlternateContent>
          <mc:Choice Requires="wps">
            <w:drawing>
              <wp:anchor distT="1638300" distB="17145" distL="971550" distR="10795" simplePos="0" relativeHeight="60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149225</wp:posOffset>
                </wp:positionV>
                <wp:extent cx="3113405" cy="1849755"/>
                <wp:effectExtent l="971550" t="163830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3405" cy="1849755"/>
                        </a:xfrm>
                        <a:prstGeom prst="wedgeRectCallout">
                          <a:avLst>
                            <a:gd name="adj1" fmla="val -77394"/>
                            <a:gd name="adj2" fmla="val -132731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4220C9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43" o:spid="_x0000_s1028" type="#_x0000_t61" style="position:absolute;left:0;text-align:left;margin-left:235.8pt;margin-top:11.75pt;width:245.15pt;height:145.65pt;z-index:60;visibility:visible;mso-wrap-style:square;mso-width-percent:0;mso-height-percent:0;mso-wrap-distance-left:76.5pt;mso-wrap-distance-top:129pt;mso-wrap-distance-right:.85pt;mso-wrap-distance-bottom:1.3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" adj="-5917,-17870" filled="f" strokeweight="3pt">
                <v:path arrowok="t"/>
                <v:textbox>
                  <w:txbxContent>
                    <w:p w:rsidR="004220C9" w:rsidRDefault="004220C9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:rsidR="004220C9" w:rsidRDefault="009F500F">
      <w:pPr>
        <w:jc w:val="center"/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62865</wp:posOffset>
            </wp:positionV>
            <wp:extent cx="3201670" cy="1644650"/>
            <wp:effectExtent l="0" t="0" r="0" b="0"/>
            <wp:wrapNone/>
            <wp:docPr id="30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A314D4">
      <w:pPr>
        <w:jc w:val="center"/>
      </w:pPr>
      <w:r>
        <w:rPr>
          <w:noProof/>
        </w:rPr>
        <mc:AlternateContent>
          <mc:Choice Requires="wps">
            <w:drawing>
              <wp:anchor distT="0" distB="6350" distL="0" distR="0" simplePos="0" relativeHeight="65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71755</wp:posOffset>
                </wp:positionV>
                <wp:extent cx="3113405" cy="41275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3405" cy="4127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Illustration du pistolet mono-point du poste SERP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42" o:spid="_x0000_s1029" style="position:absolute;left:0;text-align:left;margin-left:235.9pt;margin-top:5.65pt;width:245.15pt;height:32.5pt;z-index:65;visibility:visible;mso-wrap-style:square;mso-width-percent:0;mso-height-percent:200;mso-wrap-distance-left:0;mso-wrap-distance-top:0;mso-wrap-distance-right:0;mso-wrap-distance-bottom:.5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Illustration du pistolet mono-point du poste SERP</w:t>
                      </w:r>
                    </w:p>
                  </w:txbxContent>
                </v:textbox>
              </v:rect>
            </w:pict>
          </mc:Fallback>
        </mc:AlternateContent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pStyle w:val="Titre1"/>
      </w:pPr>
      <w:bookmarkStart w:id="11" w:name="_Toc155881773"/>
      <w:r>
        <w:lastRenderedPageBreak/>
        <w:t>Plan d'ajustage latéral des éléments amovibles.</w:t>
      </w:r>
      <w:bookmarkEnd w:id="11"/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jc w:val="center"/>
      </w:pPr>
      <w:r>
        <w:rPr>
          <w:noProof/>
        </w:rPr>
        <w:drawing>
          <wp:inline distT="0" distB="0" distL="0" distR="0">
            <wp:extent cx="6153785" cy="3893185"/>
            <wp:effectExtent l="0" t="0" r="0" b="0"/>
            <wp:docPr id="32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jc w:val="center"/>
      </w:pPr>
      <w:r>
        <w:rPr>
          <w:noProof/>
        </w:rPr>
        <w:drawing>
          <wp:inline distT="0" distB="0" distL="0" distR="0">
            <wp:extent cx="6075680" cy="1840230"/>
            <wp:effectExtent l="0" t="0" r="0" b="0"/>
            <wp:docPr id="33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>
      <w:pPr>
        <w:tabs>
          <w:tab w:val="left" w:pos="3454"/>
        </w:tabs>
        <w:jc w:val="left"/>
        <w:rPr>
          <w:sz w:val="24"/>
        </w:rPr>
      </w:pPr>
    </w:p>
    <w:p w:rsidR="004220C9" w:rsidRDefault="009F500F">
      <w:pPr>
        <w:tabs>
          <w:tab w:val="left" w:pos="3454"/>
        </w:tabs>
        <w:jc w:val="left"/>
        <w:rPr>
          <w:sz w:val="24"/>
        </w:rPr>
      </w:pPr>
      <w:r>
        <w:rPr>
          <w:sz w:val="24"/>
        </w:rPr>
        <w:t>NOTA : les cotes sont symétriques.</w:t>
      </w: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4220C9">
      <w:pPr>
        <w:jc w:val="center"/>
      </w:pPr>
    </w:p>
    <w:p w:rsidR="004220C9" w:rsidRDefault="009F500F">
      <w:pPr>
        <w:pStyle w:val="Titre1"/>
      </w:pPr>
      <w:bookmarkStart w:id="12" w:name="_Toc155881774"/>
      <w:r>
        <w:lastRenderedPageBreak/>
        <w:t>Extrait de documentation du constructeur sur les couples de serrage des composants du circuit réfrigérant de climatisation.</w:t>
      </w:r>
      <w:bookmarkEnd w:id="12"/>
    </w:p>
    <w:p w:rsidR="004220C9" w:rsidRDefault="009F500F">
      <w:pPr>
        <w:rPr>
          <w:sz w:val="24"/>
        </w:rPr>
      </w:pPr>
      <w:r>
        <w:rPr>
          <w:sz w:val="24"/>
        </w:rPr>
        <w:t>1- circuit de réfrigération :</w:t>
      </w:r>
    </w:p>
    <w:p w:rsidR="004220C9" w:rsidRDefault="009F500F">
      <w:pPr>
        <w:jc w:val="center"/>
      </w:pPr>
      <w:r>
        <w:rPr>
          <w:noProof/>
        </w:rPr>
        <w:drawing>
          <wp:inline distT="0" distB="0" distL="0" distR="0">
            <wp:extent cx="4679950" cy="2976880"/>
            <wp:effectExtent l="0" t="0" r="0" b="0"/>
            <wp:docPr id="34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pPr>
        <w:jc w:val="center"/>
      </w:pPr>
      <w:r>
        <w:rPr>
          <w:noProof/>
        </w:rPr>
        <w:drawing>
          <wp:inline distT="0" distB="0" distL="0" distR="0">
            <wp:extent cx="5400040" cy="893445"/>
            <wp:effectExtent l="0" t="0" r="0" b="0"/>
            <wp:docPr id="35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>
      <w:pPr>
        <w:jc w:val="center"/>
      </w:pPr>
    </w:p>
    <w:p w:rsidR="004220C9" w:rsidRDefault="009F500F">
      <w:pPr>
        <w:pStyle w:val="Titre1"/>
      </w:pPr>
      <w:bookmarkStart w:id="13" w:name="_Toc155881775"/>
      <w:r>
        <w:lastRenderedPageBreak/>
        <w:t>Extrait de documentation du constructeur sur la méthodologie de contrôle d'étanchéité du circuit de réfrigération de climatisation.</w:t>
      </w:r>
      <w:bookmarkEnd w:id="13"/>
    </w:p>
    <w:p w:rsidR="004220C9" w:rsidRDefault="004220C9"/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Recherche de fuite à l’aide du kit de détection de fuite à l’azote ou à l’aide de transdiazène N2H2.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ATTENTION : Pour rechercher une fuite, à l’aide du kit de détection de fuite à l’azote, le circuit de réfrigération doit être vide et la pression résiduelle dans le circuit nulle.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NOTA : L’azote n’est pas un gaz polluant.</w:t>
      </w:r>
    </w:p>
    <w:p w:rsidR="004220C9" w:rsidRDefault="004220C9"/>
    <w:p w:rsidR="004220C9" w:rsidRDefault="00A314D4">
      <w:pPr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1" behindDoc="0" locked="0" layoutInCell="1" allowOverlap="1">
                <wp:simplePos x="0" y="0"/>
                <wp:positionH relativeFrom="column">
                  <wp:posOffset>4726051</wp:posOffset>
                </wp:positionH>
                <wp:positionV relativeFrom="paragraph">
                  <wp:posOffset>311506</wp:posOffset>
                </wp:positionV>
                <wp:extent cx="2230806" cy="2324735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806" cy="23247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1- compresseur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2- condenseur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3- détendeur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4- évaporateur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5- bouteille</w:t>
                            </w:r>
                            <w:r w:rsidR="0012222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déshydratante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6- pulseur d'air</w:t>
                            </w:r>
                            <w:r w:rsidR="0012222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d'habita</w:t>
                            </w:r>
                            <w:r w:rsidR="00122229">
                              <w:rPr>
                                <w:sz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</w:rPr>
                              <w:t>le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7- pressostat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8- kit de détection de</w:t>
                            </w:r>
                            <w:r w:rsidR="0012222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fuite à l'azote</w:t>
                            </w:r>
                          </w:p>
                        </w:txbxContent>
                      </wps:txbx>
                      <wps:bodyPr wrap="square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0" style="position:absolute;margin-left:372.15pt;margin-top:24.55pt;width:175.65pt;height:183.05pt;z-index:4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" filled="f" stroked="f" strokeweight="0">
                <v:path arrowok="t"/>
                <v:textbox>
                  <w:txbxContent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1- compresseur</w:t>
                      </w:r>
                    </w:p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2- condenseur</w:t>
                      </w:r>
                    </w:p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3- détendeur</w:t>
                      </w:r>
                    </w:p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4- évaporateur</w:t>
                      </w:r>
                    </w:p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5- bouteille</w:t>
                      </w:r>
                      <w:r w:rsidR="00122229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déshydratante</w:t>
                      </w:r>
                    </w:p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6- </w:t>
                      </w:r>
                      <w:proofErr w:type="spellStart"/>
                      <w:r>
                        <w:rPr>
                          <w:sz w:val="24"/>
                        </w:rPr>
                        <w:t>pulseur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d'air</w:t>
                      </w:r>
                      <w:r w:rsidR="00122229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d'habita</w:t>
                      </w:r>
                      <w:r w:rsidR="00122229">
                        <w:rPr>
                          <w:sz w:val="24"/>
                        </w:rPr>
                        <w:t>c</w:t>
                      </w:r>
                      <w:r>
                        <w:rPr>
                          <w:sz w:val="24"/>
                        </w:rPr>
                        <w:t>le</w:t>
                      </w:r>
                    </w:p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7- pressostat</w:t>
                      </w:r>
                    </w:p>
                    <w:p w:rsidR="004220C9" w:rsidRDefault="009F500F">
                      <w:pPr>
                        <w:pStyle w:val="Contenudecadr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8- kit de détection de</w:t>
                      </w:r>
                      <w:r w:rsidR="00122229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fuite à l'azote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756920</wp:posOffset>
                </wp:positionV>
                <wp:extent cx="287020" cy="252095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40" o:spid="_x0000_s1031" style="position:absolute;margin-left:54.15pt;margin-top:59.6pt;width:22.6pt;height:19.85pt;z-index:43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450850</wp:posOffset>
                </wp:positionV>
                <wp:extent cx="287020" cy="252095"/>
                <wp:effectExtent l="0" t="0" r="0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39" o:spid="_x0000_s1032" style="position:absolute;margin-left:260.65pt;margin-top:35.5pt;width:22.6pt;height:19.85pt;z-index:45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2054860</wp:posOffset>
                </wp:positionV>
                <wp:extent cx="287020" cy="252095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38" o:spid="_x0000_s1033" style="position:absolute;margin-left:183.9pt;margin-top:161.8pt;width:22.6pt;height:19.85pt;z-index:47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2347595</wp:posOffset>
                </wp:positionV>
                <wp:extent cx="287020" cy="252095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37" o:spid="_x0000_s1034" style="position:absolute;margin-left:123.1pt;margin-top:184.85pt;width:22.6pt;height:19.85pt;z-index:49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1803400</wp:posOffset>
                </wp:positionV>
                <wp:extent cx="287020" cy="252095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36" o:spid="_x0000_s1035" style="position:absolute;margin-left:230.55pt;margin-top:142pt;width:22.6pt;height:19.85pt;z-index:51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310515</wp:posOffset>
                </wp:positionV>
                <wp:extent cx="287020" cy="252095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31" o:spid="_x0000_s1036" style="position:absolute;margin-left:213.3pt;margin-top:24.45pt;width:22.6pt;height:19.85pt;z-index:53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945515</wp:posOffset>
                </wp:positionV>
                <wp:extent cx="287020" cy="25209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29" o:spid="_x0000_s1037" style="position:absolute;margin-left:218.2pt;margin-top:74.45pt;width:22.6pt;height:19.85pt;z-index:55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1303020</wp:posOffset>
                </wp:positionV>
                <wp:extent cx="287020" cy="252095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2520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Rectangle 27" o:spid="_x0000_s1038" style="position:absolute;margin-left:156.4pt;margin-top:102.6pt;width:22.6pt;height:19.85pt;z-index:57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" filled="f" stroked="f" strokeweight="0">
                <v:path arrowok="t"/>
                <v:textbox style="mso-fit-shape-to-text:t">
                  <w:txbxContent>
                    <w:p w:rsidR="004220C9" w:rsidRDefault="009F500F">
                      <w:pPr>
                        <w:pStyle w:val="Contenudecadr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9F500F">
        <w:rPr>
          <w:noProof/>
        </w:rPr>
        <w:drawing>
          <wp:inline distT="0" distB="0" distL="0" distR="0">
            <wp:extent cx="4679950" cy="2988310"/>
            <wp:effectExtent l="0" t="0" r="0" b="0"/>
            <wp:docPr id="4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/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Installer le kit de détection de fuite à l’azote équipé d’un détendeur réglable.</w:t>
      </w: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Régler la pression à 5 bars pour un premier contrôle d’étanchéité.</w:t>
      </w: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Régler la pression à 15 bars au maximum, pour un deuxième contrôle d’étanchéité.</w:t>
      </w: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Accoupler le tuyau du détendeur de la bouteille d’azote à un raccord du circuit de réfrigération.</w:t>
      </w: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Fermer le robinet de la bouteille d’azote.</w:t>
      </w: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Contrôler si la pression au manomètre chute.</w:t>
      </w: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Rechercher les fuites importantes en localisant le bruit.</w:t>
      </w:r>
    </w:p>
    <w:p w:rsidR="004220C9" w:rsidRDefault="009F500F">
      <w:pPr>
        <w:pStyle w:val="Paragraphedeliste"/>
        <w:numPr>
          <w:ilvl w:val="0"/>
          <w:numId w:val="6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Pulvériser un détecteur de fuite à l’azote.</w:t>
      </w:r>
    </w:p>
    <w:p w:rsidR="004220C9" w:rsidRDefault="004220C9">
      <w:pPr>
        <w:pStyle w:val="Paragraphedeliste"/>
        <w:jc w:val="left"/>
        <w:rPr>
          <w:rFonts w:cs="Arial"/>
          <w:sz w:val="24"/>
        </w:rPr>
      </w:pP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NOTA : Si la fuite n’est pas détectée de cette façon, utiliser la méthode suivante.</w:t>
      </w:r>
    </w:p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9F500F">
      <w:pPr>
        <w:pStyle w:val="Titre1"/>
      </w:pPr>
      <w:bookmarkStart w:id="14" w:name="_Toc155881776"/>
      <w:r>
        <w:lastRenderedPageBreak/>
        <w:t>Extrait de documentation du constructeur sur l'évolution concernant le nouveau fluide "1234YF" du circuit de réfrigération de climatisation.</w:t>
      </w:r>
      <w:bookmarkEnd w:id="14"/>
    </w:p>
    <w:p w:rsidR="004220C9" w:rsidRDefault="004220C9"/>
    <w:p w:rsidR="004220C9" w:rsidRDefault="009F500F" w:rsidP="00122229">
      <w:pPr>
        <w:rPr>
          <w:rFonts w:cs="Arial"/>
          <w:sz w:val="24"/>
        </w:rPr>
      </w:pPr>
      <w:r>
        <w:rPr>
          <w:rFonts w:cs="Arial"/>
          <w:sz w:val="24"/>
        </w:rPr>
        <w:t>1. Diversité des circuits de réfrigération :</w:t>
      </w:r>
    </w:p>
    <w:p w:rsidR="004220C9" w:rsidRDefault="009F500F" w:rsidP="00122229">
      <w:pPr>
        <w:rPr>
          <w:rFonts w:cs="Arial"/>
          <w:sz w:val="24"/>
        </w:rPr>
      </w:pPr>
      <w:r>
        <w:rPr>
          <w:rFonts w:cs="Arial"/>
          <w:sz w:val="24"/>
        </w:rPr>
        <w:t>L’apparition du nouveau fluide 1234YF entraîne une diversité des circuits de réfrigération, qui peut coexister sur un même modèle de véhicule.</w:t>
      </w:r>
    </w:p>
    <w:p w:rsidR="004220C9" w:rsidRDefault="004220C9" w:rsidP="00122229">
      <w:pPr>
        <w:rPr>
          <w:rFonts w:cs="Arial"/>
          <w:sz w:val="24"/>
        </w:rPr>
      </w:pPr>
    </w:p>
    <w:p w:rsidR="004220C9" w:rsidRDefault="009F500F" w:rsidP="00122229">
      <w:pPr>
        <w:rPr>
          <w:rFonts w:cs="Arial"/>
          <w:sz w:val="24"/>
        </w:rPr>
      </w:pPr>
      <w:r>
        <w:rPr>
          <w:rFonts w:cs="Arial"/>
          <w:sz w:val="24"/>
        </w:rPr>
        <w:t>NOTA : Les fluides R134a et 1234YF ne sont pas miscibles, ni interchangeables.</w:t>
      </w:r>
    </w:p>
    <w:p w:rsidR="004220C9" w:rsidRDefault="004220C9" w:rsidP="00122229">
      <w:pPr>
        <w:rPr>
          <w:rFonts w:cs="Arial"/>
          <w:sz w:val="24"/>
        </w:rPr>
      </w:pPr>
    </w:p>
    <w:p w:rsidR="004220C9" w:rsidRDefault="009F500F" w:rsidP="00122229">
      <w:pPr>
        <w:rPr>
          <w:rFonts w:cs="Arial"/>
          <w:sz w:val="24"/>
        </w:rPr>
      </w:pPr>
      <w:r>
        <w:rPr>
          <w:rFonts w:cs="Arial"/>
          <w:sz w:val="24"/>
        </w:rPr>
        <w:t>ATTENTION : Les circuits contenant du fluide R134a et les circuits contenant du fluide 1234YF sont différents ; avant toute intervention, identifier le type de circuit de réfrigération.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2. Identification des circuits de réfrigération :</w:t>
      </w:r>
    </w:p>
    <w:p w:rsidR="004220C9" w:rsidRDefault="009F500F">
      <w:pPr>
        <w:jc w:val="center"/>
      </w:pPr>
      <w:r>
        <w:rPr>
          <w:noProof/>
        </w:rPr>
        <w:drawing>
          <wp:inline distT="0" distB="0" distL="0" distR="0">
            <wp:extent cx="4787900" cy="3086100"/>
            <wp:effectExtent l="0" t="0" r="0" b="0"/>
            <wp:docPr id="4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/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A : Circuit de réfrigération contenant du fluide 1234YF.</w:t>
      </w: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B : Circuit de réfrigération contenant du fluide R134a.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 w:rsidP="00122229">
      <w:pPr>
        <w:rPr>
          <w:rFonts w:cs="Arial"/>
          <w:sz w:val="24"/>
        </w:rPr>
      </w:pPr>
      <w:r>
        <w:rPr>
          <w:rFonts w:cs="Arial"/>
          <w:sz w:val="24"/>
        </w:rPr>
        <w:t xml:space="preserve">La seule différence visible est la couleur des capuchons de protection des raccords encliquetables sur le circuit de réfrigération (en </w:t>
      </w:r>
      <w:r w:rsidR="00B40D43">
        <w:rPr>
          <w:rFonts w:cs="Arial"/>
          <w:sz w:val="24"/>
        </w:rPr>
        <w:t>« </w:t>
      </w:r>
      <w:r>
        <w:rPr>
          <w:rFonts w:cs="Arial"/>
          <w:sz w:val="24"/>
        </w:rPr>
        <w:t>a</w:t>
      </w:r>
      <w:r w:rsidR="00B40D43">
        <w:rPr>
          <w:rFonts w:cs="Arial"/>
          <w:sz w:val="24"/>
        </w:rPr>
        <w:t> »</w:t>
      </w:r>
      <w:r>
        <w:rPr>
          <w:rFonts w:cs="Arial"/>
          <w:sz w:val="24"/>
        </w:rPr>
        <w:t>) :</w:t>
      </w:r>
    </w:p>
    <w:p w:rsidR="004220C9" w:rsidRDefault="009F500F" w:rsidP="00122229">
      <w:pPr>
        <w:rPr>
          <w:rFonts w:cs="Arial"/>
          <w:sz w:val="24"/>
        </w:rPr>
      </w:pPr>
      <w:r>
        <w:rPr>
          <w:rFonts w:cs="Arial"/>
          <w:sz w:val="24"/>
        </w:rPr>
        <w:t>Les capuchons sont de couleur grise pour les véhicules équipés de fluide 1234YF</w:t>
      </w:r>
      <w:r w:rsidR="00B40D43">
        <w:rPr>
          <w:rFonts w:cs="Arial"/>
          <w:sz w:val="24"/>
        </w:rPr>
        <w:t>.</w:t>
      </w:r>
    </w:p>
    <w:p w:rsidR="004220C9" w:rsidRDefault="009F500F" w:rsidP="00122229">
      <w:pPr>
        <w:rPr>
          <w:rFonts w:cs="Arial"/>
          <w:sz w:val="24"/>
        </w:rPr>
      </w:pPr>
      <w:r>
        <w:rPr>
          <w:rFonts w:cs="Arial"/>
          <w:sz w:val="24"/>
        </w:rPr>
        <w:t>Les capuchons sont de couleur noire pour les véhicules équipés de fluide R134a</w:t>
      </w:r>
      <w:r w:rsidR="00B40D43">
        <w:rPr>
          <w:rFonts w:cs="Arial"/>
          <w:sz w:val="24"/>
        </w:rPr>
        <w:t>.</w:t>
      </w:r>
    </w:p>
    <w:p w:rsidR="004220C9" w:rsidRDefault="004220C9"/>
    <w:p w:rsidR="004220C9" w:rsidRDefault="009F500F">
      <w:pPr>
        <w:jc w:val="center"/>
      </w:pPr>
      <w:r>
        <w:rPr>
          <w:noProof/>
        </w:rPr>
        <w:lastRenderedPageBreak/>
        <w:drawing>
          <wp:inline distT="0" distB="0" distL="0" distR="0">
            <wp:extent cx="4787900" cy="3074670"/>
            <wp:effectExtent l="0" t="0" r="0" b="0"/>
            <wp:docPr id="4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9472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4220C9"/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C : Circuit de réfrigération contenant du fluide 1234YF.</w:t>
      </w: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D : Circuit de réfrigération contenant du fluide R134a.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NOTA : Présence d’un marquage 1234YF pour identifier les capuchons de protection des raccords encliquetables des circuits contenant le nouveau fluide 1234YF.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De plus, afin d’éviter tout échange et toute inversion, les raccords encliquetables et les capuchons sont de diamètres différents entre les 2 circuits de réfrigération (</w:t>
      </w:r>
      <w:r w:rsidR="00AD699B">
        <w:rPr>
          <w:rFonts w:cs="Arial"/>
          <w:sz w:val="24"/>
        </w:rPr>
        <w:t>l</w:t>
      </w:r>
      <w:r>
        <w:rPr>
          <w:rFonts w:cs="Arial"/>
          <w:sz w:val="24"/>
        </w:rPr>
        <w:t>es raccords encliquetables des circuits contenant du fluide 1234YF sont sensiblement plus gros que les raccords encliquetables des circuits contenant du fluide R134a).</w:t>
      </w:r>
    </w:p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A314D4">
      <w:r>
        <w:rPr>
          <w:noProof/>
        </w:rPr>
        <mc:AlternateContent>
          <mc:Choice Requires="wps">
            <w:drawing>
              <wp:anchor distT="0" distB="25400" distL="0" distR="17780" simplePos="0" relativeHeight="32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40005</wp:posOffset>
                </wp:positionV>
                <wp:extent cx="3658870" cy="755650"/>
                <wp:effectExtent l="0" t="0" r="0" b="63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220C9" w:rsidRDefault="009F500F">
                            <w:pPr>
                              <w:pStyle w:val="Contenudecadre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Le véhicule Peugeot 3008 de l'étude est équipé de bouc</w:t>
                            </w:r>
                            <w:r w:rsidR="00AD699B">
                              <w:rPr>
                                <w:b/>
                                <w:sz w:val="24"/>
                              </w:rPr>
                              <w:t>hons gris avec un marquage 1234</w:t>
                            </w:r>
                            <w:r>
                              <w:rPr>
                                <w:b/>
                                <w:sz w:val="24"/>
                              </w:rPr>
                              <w:t>YF.</w:t>
                            </w:r>
                          </w:p>
                          <w:p w:rsidR="004220C9" w:rsidRDefault="009F500F">
                            <w:pPr>
                              <w:pStyle w:val="Contenudecadre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Condenseur de réfrigération : 23</w:t>
                            </w:r>
                            <w:r w:rsidR="0012222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dm</w:t>
                            </w:r>
                            <w:r>
                              <w:rPr>
                                <w:b/>
                                <w:sz w:val="24"/>
                                <w:vertAlign w:val="superscript"/>
                              </w:rPr>
                              <w:t>2</w:t>
                            </w:r>
                            <w:r w:rsidR="00122229">
                              <w:rPr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12222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  <w:r w:rsidR="0012222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mm</w:t>
                            </w:r>
                          </w:p>
                        </w:txbxContent>
                      </wps:txbx>
                      <wps:bodyPr anchor="ctr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9" style="position:absolute;left:0;text-align:left;margin-left:98.8pt;margin-top:3.15pt;width:288.1pt;height:59.5pt;z-index:32;visibility:visible;mso-wrap-style:square;mso-width-percent:0;mso-height-percent:0;mso-wrap-distance-left:0;mso-wrap-distance-top:0;mso-wrap-distance-right:1.4pt;mso-wrap-distance-bottom:2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">
                <v:path arrowok="t"/>
                <v:textbox>
                  <w:txbxContent>
                    <w:p w:rsidR="004220C9" w:rsidRDefault="009F500F">
                      <w:pPr>
                        <w:pStyle w:val="Contenudecadre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Le véhicule Peugeot 3008 de l'étude est équipé de bouc</w:t>
                      </w:r>
                      <w:r w:rsidR="00AD699B">
                        <w:rPr>
                          <w:b/>
                          <w:sz w:val="24"/>
                        </w:rPr>
                        <w:t>hons gris avec un marquage 1234</w:t>
                      </w:r>
                      <w:r>
                        <w:rPr>
                          <w:b/>
                          <w:sz w:val="24"/>
                        </w:rPr>
                        <w:t>YF.</w:t>
                      </w:r>
                    </w:p>
                    <w:p w:rsidR="004220C9" w:rsidRDefault="009F500F">
                      <w:pPr>
                        <w:pStyle w:val="Contenudecadre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Condenseur de réfrigération : 23</w:t>
                      </w:r>
                      <w:r w:rsidR="00122229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dm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2</w:t>
                      </w:r>
                      <w:r w:rsidR="00122229">
                        <w:rPr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122229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12</w:t>
                      </w:r>
                      <w:r w:rsidR="00122229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mm</w:t>
                      </w:r>
                    </w:p>
                  </w:txbxContent>
                </v:textbox>
              </v:rect>
            </w:pict>
          </mc:Fallback>
        </mc:AlternateContent>
      </w:r>
    </w:p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9F500F">
      <w:pPr>
        <w:pStyle w:val="Titre1"/>
      </w:pPr>
      <w:bookmarkStart w:id="15" w:name="_Toc155881777"/>
      <w:r>
        <w:lastRenderedPageBreak/>
        <w:t>Extrait de documentation du constructeur sur les capacités de charge du fluide de réfrigération d</w:t>
      </w:r>
      <w:r w:rsidR="00AD699B">
        <w:t>e la climatisation (fluide 1234</w:t>
      </w:r>
      <w:r>
        <w:t>YF).</w:t>
      </w:r>
      <w:bookmarkEnd w:id="15"/>
    </w:p>
    <w:p w:rsidR="004220C9" w:rsidRDefault="004220C9"/>
    <w:p w:rsidR="004220C9" w:rsidRDefault="00A314D4">
      <w:pPr>
        <w:jc w:val="center"/>
      </w:pPr>
      <w:r>
        <w:rPr>
          <w:noProof/>
        </w:rPr>
        <mc:AlternateContent>
          <mc:Choice Requires="wps">
            <w:drawing>
              <wp:anchor distT="0" distB="20320" distL="0" distR="26035" simplePos="0" relativeHeight="3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12700</wp:posOffset>
                </wp:positionV>
                <wp:extent cx="5022215" cy="7752080"/>
                <wp:effectExtent l="0" t="0" r="6985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7752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31E10" id="Rectangle 4" o:spid="_x0000_s1026" style="position:absolute;margin-left:57.75pt;margin-top:1pt;width:395.45pt;height:610.4pt;z-index:36;visibility:visible;mso-wrap-style:square;mso-width-percent:0;mso-height-percent:0;mso-wrap-distance-left:0;mso-wrap-distance-top:0;mso-wrap-distance-right:2.05pt;mso-wrap-distance-bottom:1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" filled="f">
                <v:path arrowok="t"/>
              </v:rect>
            </w:pict>
          </mc:Fallback>
        </mc:AlternateContent>
      </w:r>
      <w:r w:rsidR="009F500F">
        <w:rPr>
          <w:noProof/>
        </w:rPr>
        <w:drawing>
          <wp:inline distT="0" distB="0" distL="0" distR="0">
            <wp:extent cx="5039995" cy="1591945"/>
            <wp:effectExtent l="0" t="0" r="0" b="0"/>
            <wp:docPr id="50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C9" w:rsidRDefault="009F500F"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-3810</wp:posOffset>
            </wp:positionV>
            <wp:extent cx="5074285" cy="3258820"/>
            <wp:effectExtent l="0" t="0" r="0" b="0"/>
            <wp:wrapNone/>
            <wp:docPr id="51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9F500F"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14605</wp:posOffset>
            </wp:positionV>
            <wp:extent cx="5038090" cy="2933700"/>
            <wp:effectExtent l="0" t="0" r="0" b="0"/>
            <wp:wrapNone/>
            <wp:docPr id="52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4220C9"/>
    <w:p w:rsidR="004220C9" w:rsidRDefault="009F500F">
      <w:pPr>
        <w:pStyle w:val="Titre1"/>
      </w:pPr>
      <w:bookmarkStart w:id="16" w:name="_Toc155881778"/>
      <w:r>
        <w:lastRenderedPageBreak/>
        <w:t>Extrait de documentation du constructeur sur la méthodologie de contrôle de bon fonctionnement de la climatisation.</w:t>
      </w:r>
      <w:bookmarkEnd w:id="16"/>
    </w:p>
    <w:p w:rsidR="004220C9" w:rsidRDefault="004220C9"/>
    <w:p w:rsidR="004220C9" w:rsidRDefault="004220C9"/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1. Procédure de contrôle :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Mettre en place l’outil [EXXO-CLIM] ou [4372-T] (selon notice constructeur).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>Effectuer les opérations suivantes :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f</w:t>
      </w:r>
      <w:r w:rsidR="009F500F">
        <w:rPr>
          <w:rFonts w:cs="Arial"/>
          <w:sz w:val="24"/>
        </w:rPr>
        <w:t>ermer tous les aérateurs frontaux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d</w:t>
      </w:r>
      <w:r w:rsidR="009F500F">
        <w:rPr>
          <w:rFonts w:cs="Arial"/>
          <w:sz w:val="24"/>
        </w:rPr>
        <w:t>émarrer le moteur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o</w:t>
      </w:r>
      <w:r w:rsidR="009F500F">
        <w:rPr>
          <w:rFonts w:cs="Arial"/>
          <w:sz w:val="24"/>
        </w:rPr>
        <w:t>uvrir l’aérateur frontal gauche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p</w:t>
      </w:r>
      <w:r w:rsidR="009F500F">
        <w:rPr>
          <w:rFonts w:cs="Arial"/>
          <w:sz w:val="24"/>
        </w:rPr>
        <w:t>ositionner les commandes de répartition d’air sur les aérateurs centraux et latéraux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m</w:t>
      </w:r>
      <w:r w:rsidR="009F500F">
        <w:rPr>
          <w:rFonts w:cs="Arial"/>
          <w:sz w:val="24"/>
        </w:rPr>
        <w:t>ise en marche de la fonction circulation d’air extérieur : (Recyclage éteint)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m</w:t>
      </w:r>
      <w:r w:rsidR="009F500F">
        <w:rPr>
          <w:rFonts w:cs="Arial"/>
          <w:sz w:val="24"/>
        </w:rPr>
        <w:t>ise en marche de la fonction air conditionné (AC allumé)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r</w:t>
      </w:r>
      <w:r w:rsidR="009F500F">
        <w:rPr>
          <w:rFonts w:cs="Arial"/>
          <w:sz w:val="24"/>
        </w:rPr>
        <w:t>égler la commande du débit d’air en position maximale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r</w:t>
      </w:r>
      <w:r w:rsidR="009F500F">
        <w:rPr>
          <w:rFonts w:cs="Arial"/>
          <w:sz w:val="24"/>
        </w:rPr>
        <w:t>égler au minimum la commande de température d’air habitacle (Froid maxi)</w:t>
      </w:r>
      <w:r>
        <w:rPr>
          <w:rFonts w:cs="Arial"/>
          <w:sz w:val="24"/>
        </w:rPr>
        <w:t> ;</w:t>
      </w:r>
    </w:p>
    <w:p w:rsidR="004220C9" w:rsidRDefault="00122229">
      <w:pPr>
        <w:pStyle w:val="Paragraphedeliste"/>
        <w:numPr>
          <w:ilvl w:val="0"/>
          <w:numId w:val="2"/>
        </w:numPr>
        <w:jc w:val="left"/>
        <w:rPr>
          <w:rFonts w:cs="Arial"/>
          <w:sz w:val="24"/>
        </w:rPr>
      </w:pPr>
      <w:r>
        <w:rPr>
          <w:rFonts w:cs="Arial"/>
          <w:sz w:val="24"/>
        </w:rPr>
        <w:t>l</w:t>
      </w:r>
      <w:r w:rsidR="009F500F">
        <w:rPr>
          <w:rFonts w:cs="Arial"/>
          <w:sz w:val="24"/>
        </w:rPr>
        <w:t>aisser la climatisation fonctionner pendant 5 minutes.</w:t>
      </w:r>
    </w:p>
    <w:p w:rsidR="004220C9" w:rsidRDefault="004220C9">
      <w:pPr>
        <w:pStyle w:val="Paragraphedeliste"/>
        <w:jc w:val="left"/>
        <w:rPr>
          <w:rFonts w:cs="Arial"/>
          <w:sz w:val="24"/>
        </w:rPr>
      </w:pPr>
    </w:p>
    <w:p w:rsidR="004220C9" w:rsidRDefault="004220C9"/>
    <w:p w:rsidR="004220C9" w:rsidRDefault="004220C9"/>
    <w:p w:rsidR="004220C9" w:rsidRDefault="009F500F">
      <w:pPr>
        <w:jc w:val="left"/>
        <w:rPr>
          <w:rFonts w:cs="Arial"/>
          <w:sz w:val="24"/>
        </w:rPr>
      </w:pPr>
      <w:r>
        <w:rPr>
          <w:rFonts w:cs="Arial"/>
          <w:sz w:val="24"/>
        </w:rPr>
        <w:t xml:space="preserve">2. Température de l’air soufflé </w:t>
      </w:r>
      <w:r w:rsidR="00AD699B">
        <w:rPr>
          <w:rFonts w:cs="Arial"/>
          <w:sz w:val="24"/>
        </w:rPr>
        <w:t>« </w:t>
      </w:r>
      <w:r>
        <w:rPr>
          <w:rFonts w:cs="Arial"/>
          <w:sz w:val="24"/>
        </w:rPr>
        <w:t>u</w:t>
      </w:r>
      <w:r w:rsidR="00AD699B">
        <w:rPr>
          <w:rFonts w:cs="Arial"/>
          <w:sz w:val="24"/>
        </w:rPr>
        <w:t> »</w:t>
      </w:r>
      <w:r>
        <w:rPr>
          <w:rFonts w:cs="Arial"/>
          <w:sz w:val="24"/>
        </w:rPr>
        <w:t> :</w:t>
      </w:r>
    </w:p>
    <w:p w:rsidR="004220C9" w:rsidRDefault="004220C9">
      <w:pPr>
        <w:jc w:val="left"/>
        <w:rPr>
          <w:rFonts w:cs="Arial"/>
          <w:sz w:val="24"/>
        </w:rPr>
      </w:pPr>
    </w:p>
    <w:p w:rsidR="004220C9" w:rsidRDefault="009F500F">
      <w:pPr>
        <w:rPr>
          <w:rFonts w:cs="Arial"/>
          <w:sz w:val="24"/>
        </w:rPr>
      </w:pPr>
      <w:r>
        <w:rPr>
          <w:rFonts w:cs="Arial"/>
          <w:sz w:val="24"/>
        </w:rPr>
        <w:t>La température de l’air soufflé doit être comprise entre 2</w:t>
      </w:r>
      <w:r w:rsidR="00122229">
        <w:rPr>
          <w:rFonts w:cs="Arial"/>
          <w:sz w:val="24"/>
        </w:rPr>
        <w:t xml:space="preserve"> </w:t>
      </w:r>
      <w:r>
        <w:rPr>
          <w:rFonts w:cs="Arial"/>
          <w:sz w:val="24"/>
        </w:rPr>
        <w:t>°C et 10</w:t>
      </w:r>
      <w:r w:rsidR="00122229">
        <w:rPr>
          <w:rFonts w:cs="Arial"/>
          <w:sz w:val="24"/>
        </w:rPr>
        <w:t xml:space="preserve"> </w:t>
      </w:r>
      <w:r>
        <w:rPr>
          <w:rFonts w:cs="Arial"/>
          <w:sz w:val="24"/>
        </w:rPr>
        <w:t>°C.</w:t>
      </w:r>
    </w:p>
    <w:p w:rsidR="004220C9" w:rsidRDefault="004220C9"/>
    <w:p w:rsidR="004220C9" w:rsidRDefault="004220C9"/>
    <w:sectPr w:rsidR="004220C9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18" w:right="851" w:bottom="1134" w:left="851" w:header="720" w:footer="361" w:gutter="0"/>
      <w:pgNumType w:start="2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287" w:rsidRDefault="00185287">
      <w:r>
        <w:separator/>
      </w:r>
    </w:p>
  </w:endnote>
  <w:endnote w:type="continuationSeparator" w:id="0">
    <w:p w:rsidR="00185287" w:rsidRDefault="00185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UnicodeMS-WinCharSetFFFF-H">
    <w:altName w:val="Arial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B68" w:rsidRDefault="009D1B6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1"/>
      <w:gridCol w:w="2372"/>
      <w:gridCol w:w="1843"/>
      <w:gridCol w:w="1094"/>
    </w:tblGrid>
    <w:tr w:rsidR="004220C9" w:rsidTr="00F2679B">
      <w:trPr>
        <w:trHeight w:val="348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jc w:val="center"/>
          </w:pPr>
          <w:r>
            <w:t>Baccalauréat Professionnel Réparation des carrosseries</w:t>
          </w:r>
        </w:p>
      </w:tc>
      <w:tc>
        <w:tcPr>
          <w:tcW w:w="237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F2679B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2406-REP T 1</w:t>
          </w:r>
        </w:p>
      </w:tc>
      <w:tc>
        <w:tcPr>
          <w:tcW w:w="1843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2024</w:t>
          </w:r>
        </w:p>
      </w:tc>
      <w:tc>
        <w:tcPr>
          <w:tcW w:w="1094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DT</w:t>
          </w:r>
        </w:p>
      </w:tc>
    </w:tr>
    <w:tr w:rsidR="004220C9" w:rsidTr="00F2679B">
      <w:trPr>
        <w:trHeight w:val="456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E2 : Technologie</w:t>
          </w:r>
        </w:p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Étude de cas – Expertise technique</w:t>
          </w:r>
        </w:p>
      </w:tc>
      <w:tc>
        <w:tcPr>
          <w:tcW w:w="237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843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094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34E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34E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23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4220C9" w:rsidRDefault="004220C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1"/>
      <w:gridCol w:w="2372"/>
      <w:gridCol w:w="1701"/>
      <w:gridCol w:w="1236"/>
    </w:tblGrid>
    <w:tr w:rsidR="004220C9" w:rsidTr="009D1B68">
      <w:trPr>
        <w:trHeight w:val="348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jc w:val="center"/>
          </w:pPr>
          <w:r>
            <w:t>Baccalauréat Professionnel Réparation des carrosseries</w:t>
          </w:r>
        </w:p>
      </w:tc>
      <w:tc>
        <w:tcPr>
          <w:tcW w:w="237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D1B68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2406-REP T 1</w:t>
          </w:r>
        </w:p>
      </w:tc>
      <w:tc>
        <w:tcPr>
          <w:tcW w:w="1701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2024</w:t>
          </w:r>
        </w:p>
      </w:tc>
      <w:tc>
        <w:tcPr>
          <w:tcW w:w="1236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DT</w:t>
          </w:r>
        </w:p>
      </w:tc>
    </w:tr>
    <w:tr w:rsidR="004220C9" w:rsidTr="009D1B68">
      <w:trPr>
        <w:trHeight w:val="456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E2 : Technologie</w:t>
          </w:r>
        </w:p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Étude de cas – Expertise technique</w:t>
          </w:r>
        </w:p>
      </w:tc>
      <w:tc>
        <w:tcPr>
          <w:tcW w:w="237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236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6B3C8B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62233A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23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4220C9" w:rsidRDefault="004220C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1"/>
      <w:gridCol w:w="2088"/>
      <w:gridCol w:w="1985"/>
      <w:gridCol w:w="1236"/>
    </w:tblGrid>
    <w:tr w:rsidR="004220C9" w:rsidTr="009D1B68">
      <w:trPr>
        <w:trHeight w:val="348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jc w:val="center"/>
          </w:pPr>
          <w:r>
            <w:t>Baccalauréat Professionnel Réparation des carrosseries</w:t>
          </w:r>
        </w:p>
      </w:tc>
      <w:tc>
        <w:tcPr>
          <w:tcW w:w="2088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D1B68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2406-REP T 1</w:t>
          </w:r>
        </w:p>
      </w:tc>
      <w:tc>
        <w:tcPr>
          <w:tcW w:w="1985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2024</w:t>
          </w:r>
        </w:p>
      </w:tc>
      <w:tc>
        <w:tcPr>
          <w:tcW w:w="1236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DT</w:t>
          </w:r>
        </w:p>
      </w:tc>
    </w:tr>
    <w:tr w:rsidR="004220C9" w:rsidTr="009D1B68">
      <w:trPr>
        <w:trHeight w:val="456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E2 : Technologie</w:t>
          </w:r>
        </w:p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Étude de cas – Expertise technique</w:t>
          </w:r>
        </w:p>
      </w:tc>
      <w:tc>
        <w:tcPr>
          <w:tcW w:w="2088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985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236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34E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3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34E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23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4220C9" w:rsidRDefault="004220C9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1"/>
      <w:gridCol w:w="2372"/>
      <w:gridCol w:w="1701"/>
      <w:gridCol w:w="1236"/>
    </w:tblGrid>
    <w:tr w:rsidR="004220C9" w:rsidTr="009D1B68">
      <w:trPr>
        <w:trHeight w:val="348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jc w:val="center"/>
          </w:pPr>
          <w:r>
            <w:t>Baccalauréat Professionnel Réparation des carrosseries</w:t>
          </w:r>
        </w:p>
      </w:tc>
      <w:tc>
        <w:tcPr>
          <w:tcW w:w="237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D1B68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2406-REP T 1</w:t>
          </w:r>
        </w:p>
      </w:tc>
      <w:tc>
        <w:tcPr>
          <w:tcW w:w="1701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2024</w:t>
          </w:r>
        </w:p>
      </w:tc>
      <w:tc>
        <w:tcPr>
          <w:tcW w:w="1236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DT</w:t>
          </w:r>
        </w:p>
      </w:tc>
    </w:tr>
    <w:tr w:rsidR="004220C9" w:rsidTr="009D1B68">
      <w:trPr>
        <w:trHeight w:val="456"/>
        <w:jc w:val="center"/>
      </w:trPr>
      <w:tc>
        <w:tcPr>
          <w:tcW w:w="567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E2 : Technologie</w:t>
          </w:r>
        </w:p>
        <w:p w:rsidR="004220C9" w:rsidRDefault="009F500F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Étude de cas – Expertise technique</w:t>
          </w:r>
        </w:p>
      </w:tc>
      <w:tc>
        <w:tcPr>
          <w:tcW w:w="237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236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4220C9" w:rsidRDefault="009F500F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34E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034E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23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4220C9" w:rsidRDefault="004220C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287" w:rsidRDefault="00185287">
      <w:r>
        <w:separator/>
      </w:r>
    </w:p>
  </w:footnote>
  <w:footnote w:type="continuationSeparator" w:id="0">
    <w:p w:rsidR="00185287" w:rsidRDefault="00185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B68" w:rsidRDefault="009D1B6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0C9" w:rsidRDefault="004220C9">
    <w:pPr>
      <w:pStyle w:val="En-tte"/>
      <w:jc w:val="right"/>
      <w:rPr>
        <w:rFonts w:cs="Arial"/>
        <w:b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B68" w:rsidRDefault="009D1B6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0C9" w:rsidRDefault="009F500F">
    <w:pPr>
      <w:pStyle w:val="En-tte"/>
      <w:jc w:val="right"/>
      <w:rPr>
        <w:rFonts w:cs="Arial"/>
        <w:b/>
        <w:sz w:val="20"/>
      </w:rPr>
    </w:pPr>
    <w:r>
      <w:rPr>
        <w:rFonts w:cs="Arial"/>
        <w:b/>
        <w:sz w:val="20"/>
      </w:rPr>
      <w:t>DOSSIER TECHNIQUE</w:t>
    </w:r>
  </w:p>
  <w:p w:rsidR="004220C9" w:rsidRDefault="004220C9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0C9" w:rsidRDefault="009F500F">
    <w:pPr>
      <w:pStyle w:val="En-tte"/>
      <w:jc w:val="right"/>
      <w:rPr>
        <w:rFonts w:cs="Arial"/>
        <w:b/>
        <w:sz w:val="20"/>
      </w:rPr>
    </w:pPr>
    <w:r>
      <w:rPr>
        <w:rFonts w:cs="Arial"/>
        <w:b/>
        <w:sz w:val="20"/>
      </w:rPr>
      <w:t>DOSSIER TECHNIQUE</w:t>
    </w:r>
  </w:p>
  <w:p w:rsidR="004220C9" w:rsidRDefault="004220C9">
    <w:pPr>
      <w:pStyle w:val="En-tte"/>
      <w:jc w:val="right"/>
      <w:rPr>
        <w:rFonts w:cs="Arial"/>
        <w:b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3D3D"/>
    <w:multiLevelType w:val="multilevel"/>
    <w:tmpl w:val="148237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48063B"/>
    <w:multiLevelType w:val="multilevel"/>
    <w:tmpl w:val="8402D1C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3967ED"/>
    <w:multiLevelType w:val="multilevel"/>
    <w:tmpl w:val="8DCC4C7C"/>
    <w:lvl w:ilvl="0">
      <w:start w:val="1"/>
      <w:numFmt w:val="decimal"/>
      <w:pStyle w:val="Titre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17E21E7"/>
    <w:multiLevelType w:val="multilevel"/>
    <w:tmpl w:val="9C9230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38B261D"/>
    <w:multiLevelType w:val="multilevel"/>
    <w:tmpl w:val="E36A12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DA81119"/>
    <w:multiLevelType w:val="multilevel"/>
    <w:tmpl w:val="2E84CD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A73868"/>
    <w:multiLevelType w:val="multilevel"/>
    <w:tmpl w:val="6A965E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embedSystemFonts/>
  <w:defaultTabStop w:val="709"/>
  <w:autoHyphenation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C9"/>
    <w:rsid w:val="000528DA"/>
    <w:rsid w:val="00122229"/>
    <w:rsid w:val="001324FC"/>
    <w:rsid w:val="00185287"/>
    <w:rsid w:val="00236EDB"/>
    <w:rsid w:val="0026470C"/>
    <w:rsid w:val="00294859"/>
    <w:rsid w:val="002C0324"/>
    <w:rsid w:val="002D0C75"/>
    <w:rsid w:val="00302D72"/>
    <w:rsid w:val="0031593B"/>
    <w:rsid w:val="00356000"/>
    <w:rsid w:val="00411A26"/>
    <w:rsid w:val="004220C9"/>
    <w:rsid w:val="00423ED1"/>
    <w:rsid w:val="0062233A"/>
    <w:rsid w:val="006B3C8B"/>
    <w:rsid w:val="007034E3"/>
    <w:rsid w:val="007822F7"/>
    <w:rsid w:val="007B550B"/>
    <w:rsid w:val="008B502D"/>
    <w:rsid w:val="00921633"/>
    <w:rsid w:val="009D1B68"/>
    <w:rsid w:val="009F500F"/>
    <w:rsid w:val="00A314D4"/>
    <w:rsid w:val="00AD699B"/>
    <w:rsid w:val="00B40D43"/>
    <w:rsid w:val="00BE7D82"/>
    <w:rsid w:val="00C8077F"/>
    <w:rsid w:val="00D70B99"/>
    <w:rsid w:val="00DC635E"/>
    <w:rsid w:val="00E218AC"/>
    <w:rsid w:val="00F2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0AC"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rsid w:val="001310AC"/>
    <w:pPr>
      <w:keepNext/>
      <w:numPr>
        <w:numId w:val="1"/>
      </w:numPr>
      <w:pBdr>
        <w:top w:val="single" w:sz="8" w:space="6" w:color="000000"/>
        <w:left w:val="single" w:sz="8" w:space="4" w:color="000000"/>
        <w:bottom w:val="single" w:sz="8" w:space="6" w:color="000000"/>
        <w:right w:val="single" w:sz="8" w:space="4" w:color="000000"/>
      </w:pBdr>
      <w:spacing w:before="120" w:after="120"/>
      <w:ind w:left="357" w:hanging="357"/>
      <w:outlineLvl w:val="0"/>
    </w:pPr>
    <w:rPr>
      <w:rFonts w:cs="Arial"/>
      <w:b/>
      <w:bCs/>
      <w:sz w:val="28"/>
      <w:szCs w:val="52"/>
    </w:rPr>
  </w:style>
  <w:style w:type="paragraph" w:styleId="Titre2">
    <w:name w:val="heading 2"/>
    <w:basedOn w:val="Normal"/>
    <w:next w:val="Normal"/>
    <w:qFormat/>
    <w:rsid w:val="00530335"/>
    <w:pPr>
      <w:keepNext/>
      <w:jc w:val="left"/>
      <w:outlineLvl w:val="1"/>
    </w:pPr>
    <w:rPr>
      <w:rFonts w:cs="Arial"/>
      <w:b/>
      <w:bCs/>
      <w:sz w:val="24"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743FFC"/>
    <w:pPr>
      <w:keepNext/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qFormat/>
    <w:rsid w:val="00E27F14"/>
  </w:style>
  <w:style w:type="character" w:customStyle="1" w:styleId="PieddepageCar">
    <w:name w:val="Pied de page Car"/>
    <w:link w:val="Pieddepage"/>
    <w:uiPriority w:val="99"/>
    <w:qFormat/>
    <w:rsid w:val="00254E9E"/>
    <w:rPr>
      <w:sz w:val="24"/>
      <w:szCs w:val="24"/>
    </w:rPr>
  </w:style>
  <w:style w:type="character" w:styleId="Lienhypertexte">
    <w:name w:val="Hyperlink"/>
    <w:uiPriority w:val="99"/>
    <w:unhideWhenUsed/>
    <w:rsid w:val="001310AC"/>
    <w:rPr>
      <w:color w:val="0563C1"/>
      <w:u w:val="single"/>
    </w:rPr>
  </w:style>
  <w:style w:type="character" w:customStyle="1" w:styleId="TextedebullesCar">
    <w:name w:val="Texte de bulles Car"/>
    <w:basedOn w:val="Policepardfaut"/>
    <w:link w:val="Textedebulles"/>
    <w:qFormat/>
    <w:rsid w:val="005811B6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semiHidden/>
    <w:qFormat/>
    <w:rsid w:val="00743FFC"/>
    <w:rPr>
      <w:rFonts w:ascii="Calibri" w:hAnsi="Calibri"/>
      <w:b/>
      <w:bCs/>
      <w:sz w:val="28"/>
      <w:szCs w:val="28"/>
    </w:rPr>
  </w:style>
  <w:style w:type="character" w:styleId="Accentuation">
    <w:name w:val="Emphasis"/>
    <w:basedOn w:val="Policepardfaut"/>
    <w:uiPriority w:val="20"/>
    <w:qFormat/>
    <w:rsid w:val="00743FFC"/>
    <w:rPr>
      <w:i/>
      <w:iCs/>
    </w:rPr>
  </w:style>
  <w:style w:type="character" w:customStyle="1" w:styleId="apple-converted-space">
    <w:name w:val="apple-converted-space"/>
    <w:basedOn w:val="Policepardfaut"/>
    <w:qFormat/>
    <w:rsid w:val="00743FFC"/>
  </w:style>
  <w:style w:type="character" w:customStyle="1" w:styleId="Sautdindex">
    <w:name w:val="Saut d'index"/>
    <w:qFormat/>
  </w:style>
  <w:style w:type="paragraph" w:styleId="Titre">
    <w:name w:val="Title"/>
    <w:basedOn w:val="Normal"/>
    <w:next w:val="Corpsdetexte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rsid w:val="00F800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80008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qFormat/>
    <w:rsid w:val="00CD6E4B"/>
    <w:rPr>
      <w:szCs w:val="20"/>
    </w:rPr>
  </w:style>
  <w:style w:type="paragraph" w:styleId="Corpsdetexte2">
    <w:name w:val="Body Text 2"/>
    <w:basedOn w:val="Normal"/>
    <w:qFormat/>
    <w:rsid w:val="00C2118F"/>
    <w:pPr>
      <w:spacing w:after="120" w:line="480" w:lineRule="auto"/>
    </w:pPr>
  </w:style>
  <w:style w:type="paragraph" w:styleId="Titreindex">
    <w:name w:val="index heading"/>
    <w:basedOn w:val="Titre"/>
  </w:style>
  <w:style w:type="paragraph" w:styleId="En-ttedetabledesmatires">
    <w:name w:val="TOC Heading"/>
    <w:basedOn w:val="Titre1"/>
    <w:next w:val="Normal"/>
    <w:uiPriority w:val="39"/>
    <w:unhideWhenUsed/>
    <w:qFormat/>
    <w:rsid w:val="001310AC"/>
    <w:pPr>
      <w:keepLines/>
      <w:numPr>
        <w:numId w:val="0"/>
      </w:numPr>
      <w:pBdr>
        <w:top w:val="nil"/>
        <w:left w:val="nil"/>
        <w:bottom w:val="nil"/>
        <w:right w:val="nil"/>
      </w:pBdr>
      <w:spacing w:before="240" w:after="0" w:line="259" w:lineRule="auto"/>
      <w:ind w:left="357" w:hanging="357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TM1">
    <w:name w:val="toc 1"/>
    <w:basedOn w:val="Normal"/>
    <w:next w:val="Normal"/>
    <w:autoRedefine/>
    <w:uiPriority w:val="39"/>
    <w:rsid w:val="00302D72"/>
    <w:pPr>
      <w:tabs>
        <w:tab w:val="left" w:pos="142"/>
        <w:tab w:val="right" w:leader="dot" w:pos="10348"/>
      </w:tabs>
      <w:ind w:left="142" w:hanging="284"/>
    </w:pPr>
  </w:style>
  <w:style w:type="paragraph" w:styleId="Textedebulles">
    <w:name w:val="Balloon Text"/>
    <w:basedOn w:val="Normal"/>
    <w:link w:val="TextedebullesCar"/>
    <w:qFormat/>
    <w:rsid w:val="005811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743FFC"/>
    <w:pPr>
      <w:spacing w:beforeAutospacing="1" w:afterAutospacing="1"/>
      <w:jc w:val="left"/>
    </w:pPr>
    <w:rPr>
      <w:rFonts w:ascii="Times New Roman" w:hAnsi="Times New Roman"/>
      <w:sz w:val="24"/>
    </w:rPr>
  </w:style>
  <w:style w:type="paragraph" w:styleId="Sansinterligne">
    <w:name w:val="No Spacing"/>
    <w:uiPriority w:val="1"/>
    <w:qFormat/>
    <w:rsid w:val="00743FFC"/>
    <w:rPr>
      <w:sz w:val="24"/>
      <w:szCs w:val="24"/>
    </w:rPr>
  </w:style>
  <w:style w:type="paragraph" w:styleId="TM3">
    <w:name w:val="toc 3"/>
    <w:basedOn w:val="Normal"/>
    <w:next w:val="Normal"/>
    <w:autoRedefine/>
    <w:uiPriority w:val="39"/>
    <w:rsid w:val="00734D5B"/>
    <w:pPr>
      <w:spacing w:after="100"/>
      <w:ind w:left="440"/>
    </w:pPr>
  </w:style>
  <w:style w:type="paragraph" w:styleId="Paragraphedeliste">
    <w:name w:val="List Paragraph"/>
    <w:basedOn w:val="Normal"/>
    <w:uiPriority w:val="34"/>
    <w:qFormat/>
    <w:rsid w:val="00753527"/>
    <w:pPr>
      <w:ind w:left="720"/>
      <w:contextualSpacing/>
    </w:pPr>
  </w:style>
  <w:style w:type="paragraph" w:customStyle="1" w:styleId="name-article">
    <w:name w:val="name-article"/>
    <w:basedOn w:val="Normal"/>
    <w:qFormat/>
    <w:rsid w:val="00552B06"/>
    <w:pPr>
      <w:spacing w:beforeAutospacing="1" w:afterAutospacing="1"/>
      <w:jc w:val="left"/>
    </w:pPr>
    <w:rPr>
      <w:rFonts w:ascii="Times New Roman" w:hAnsi="Times New Roman"/>
      <w:sz w:val="24"/>
    </w:rPr>
  </w:style>
  <w:style w:type="paragraph" w:customStyle="1" w:styleId="Date1">
    <w:name w:val="Date1"/>
    <w:basedOn w:val="Normal"/>
    <w:qFormat/>
    <w:rsid w:val="00552B06"/>
    <w:pPr>
      <w:spacing w:beforeAutospacing="1" w:afterAutospacing="1"/>
      <w:jc w:val="left"/>
    </w:pPr>
    <w:rPr>
      <w:rFonts w:ascii="Times New Roman" w:hAnsi="Times New Roman"/>
      <w:sz w:val="24"/>
    </w:rPr>
  </w:style>
  <w:style w:type="paragraph" w:customStyle="1" w:styleId="Contenudecadre">
    <w:name w:val="Contenu de cadre"/>
    <w:basedOn w:val="Normal"/>
    <w:qFormat/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9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yperlink" Target="https://www.legifrance.gouv.fr/affichCodeArticle.do?cidTexte=LEGITEXT000006074228&amp;idArticle=LEGIARTI000006841186&amp;dateTexte=&amp;categorieLien=cid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legifrance.gouv.fr/loda/id/LEGIARTI000020516571/2009-04-13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eader" Target="header4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www.legifrance.gouv.fr/codes/article_lc/LEGIARTI000020517864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microsoft.com/office/2007/relationships/hdphoto" Target="media/hdphoto1.wdp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8601F-8EFE-45A3-B930-98E68610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1785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2024-03-04T14:23:00Z</dcterms:created>
  <dcterms:modified xsi:type="dcterms:W3CDTF">2024-03-08T10:46:00Z</dcterms:modified>
  <dc:language/>
</cp:coreProperties>
</file>