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5F" w:rsidRDefault="00EE7B5F">
      <w:pPr>
        <w:pStyle w:val="Corpsdetexte"/>
        <w:spacing w:before="9" w:after="1"/>
        <w:rPr>
          <w:rFonts w:ascii="Times New Roman"/>
          <w:sz w:val="29"/>
        </w:rPr>
      </w:pPr>
    </w:p>
    <w:p w:rsidR="00EE7B5F" w:rsidRDefault="005E5C81">
      <w:pPr>
        <w:pStyle w:val="Corpsdetexte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94.3pt;height:81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inset="0,0,0,0">
              <w:txbxContent>
                <w:p w:rsidR="00EE7B5F" w:rsidRDefault="005E5C81">
                  <w:pPr>
                    <w:spacing w:before="24"/>
                    <w:ind w:left="1637" w:right="163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BREVET DE TECHNICIEN SUPÉRIEUR</w:t>
                  </w:r>
                </w:p>
                <w:p w:rsidR="00EE7B5F" w:rsidRDefault="005E5C81">
                  <w:pPr>
                    <w:spacing w:before="323"/>
                    <w:ind w:left="1636" w:right="163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CONTRÔLE INDUSTRIEL</w:t>
                  </w:r>
                </w:p>
                <w:p w:rsidR="00EE7B5F" w:rsidRDefault="005E5C81">
                  <w:pPr>
                    <w:spacing w:before="1"/>
                    <w:ind w:left="1637" w:right="163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ET RÉGULATION AUTOMATIQUE</w:t>
                  </w:r>
                </w:p>
              </w:txbxContent>
            </v:textbox>
            <w10:wrap type="none"/>
            <w10:anchorlock/>
          </v:shape>
        </w:pict>
      </w:r>
    </w:p>
    <w:p w:rsidR="00EE7B5F" w:rsidRDefault="00EE7B5F">
      <w:pPr>
        <w:pStyle w:val="Corpsdetexte"/>
        <w:rPr>
          <w:rFonts w:ascii="Times New Roman"/>
          <w:sz w:val="20"/>
        </w:rPr>
      </w:pPr>
    </w:p>
    <w:p w:rsidR="00EE7B5F" w:rsidRDefault="00EE7B5F">
      <w:pPr>
        <w:pStyle w:val="Corpsdetexte"/>
        <w:rPr>
          <w:rFonts w:ascii="Times New Roman"/>
          <w:sz w:val="20"/>
        </w:rPr>
      </w:pPr>
    </w:p>
    <w:p w:rsidR="00EE7B5F" w:rsidRDefault="00EE7B5F">
      <w:pPr>
        <w:pStyle w:val="Corpsdetexte"/>
        <w:spacing w:before="1"/>
        <w:rPr>
          <w:rFonts w:ascii="Times New Roman"/>
          <w:sz w:val="22"/>
        </w:rPr>
      </w:pPr>
    </w:p>
    <w:p w:rsidR="00EE7B5F" w:rsidRDefault="005E5C81">
      <w:pPr>
        <w:spacing w:before="88"/>
        <w:ind w:left="128" w:right="334"/>
        <w:jc w:val="center"/>
        <w:rPr>
          <w:b/>
          <w:sz w:val="36"/>
        </w:rPr>
      </w:pPr>
      <w:r>
        <w:rPr>
          <w:b/>
          <w:sz w:val="36"/>
        </w:rPr>
        <w:t>U52 – Analyse d’une installation d’instrumentation, contrôle et régulation</w:t>
      </w:r>
    </w:p>
    <w:p w:rsidR="00EE7B5F" w:rsidRDefault="00EE7B5F">
      <w:pPr>
        <w:pStyle w:val="Corpsdetexte"/>
        <w:spacing w:before="2"/>
        <w:rPr>
          <w:b/>
          <w:sz w:val="36"/>
        </w:rPr>
      </w:pPr>
    </w:p>
    <w:p w:rsidR="00EE7B5F" w:rsidRDefault="005E5C81">
      <w:pPr>
        <w:spacing w:before="1"/>
        <w:ind w:left="136" w:right="334"/>
        <w:jc w:val="center"/>
        <w:rPr>
          <w:b/>
          <w:sz w:val="28"/>
        </w:rPr>
      </w:pPr>
      <w:r>
        <w:rPr>
          <w:b/>
          <w:sz w:val="28"/>
        </w:rPr>
        <w:t>SESSION 2022</w:t>
      </w:r>
    </w:p>
    <w:p w:rsidR="00EE7B5F" w:rsidRDefault="00EE7B5F">
      <w:pPr>
        <w:pStyle w:val="Corpsdetexte"/>
        <w:rPr>
          <w:b/>
          <w:sz w:val="40"/>
        </w:rPr>
      </w:pPr>
    </w:p>
    <w:p w:rsidR="00EE7B5F" w:rsidRDefault="005E5C81">
      <w:pPr>
        <w:tabs>
          <w:tab w:val="left" w:pos="5801"/>
        </w:tabs>
        <w:ind w:right="334"/>
        <w:jc w:val="center"/>
        <w:rPr>
          <w:b/>
          <w:i/>
          <w:sz w:val="28"/>
        </w:rPr>
      </w:pPr>
      <w:r>
        <w:rPr>
          <w:i/>
          <w:sz w:val="28"/>
        </w:rPr>
        <w:t xml:space="preserve">Durée :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heures</w:t>
      </w:r>
      <w:r>
        <w:rPr>
          <w:b/>
          <w:i/>
          <w:sz w:val="28"/>
        </w:rPr>
        <w:tab/>
      </w:r>
      <w:r>
        <w:rPr>
          <w:i/>
          <w:sz w:val="28"/>
        </w:rPr>
        <w:t>Coefficient :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5</w:t>
      </w:r>
    </w:p>
    <w:p w:rsidR="00EE7B5F" w:rsidRDefault="00EE7B5F">
      <w:pPr>
        <w:pStyle w:val="Corpsdetexte"/>
        <w:rPr>
          <w:b/>
          <w:i/>
          <w:sz w:val="30"/>
        </w:rPr>
      </w:pPr>
    </w:p>
    <w:p w:rsidR="00EE7B5F" w:rsidRDefault="00EE7B5F">
      <w:pPr>
        <w:pStyle w:val="Corpsdetexte"/>
        <w:rPr>
          <w:b/>
          <w:i/>
          <w:sz w:val="30"/>
        </w:rPr>
      </w:pPr>
    </w:p>
    <w:p w:rsidR="00EE7B5F" w:rsidRDefault="00EE7B5F">
      <w:pPr>
        <w:pStyle w:val="Corpsdetexte"/>
        <w:rPr>
          <w:b/>
          <w:i/>
          <w:sz w:val="30"/>
        </w:rPr>
      </w:pPr>
    </w:p>
    <w:p w:rsidR="00EE7B5F" w:rsidRDefault="00EE7B5F">
      <w:pPr>
        <w:pStyle w:val="Corpsdetexte"/>
        <w:spacing w:before="1"/>
        <w:rPr>
          <w:b/>
          <w:i/>
          <w:sz w:val="30"/>
        </w:rPr>
      </w:pPr>
    </w:p>
    <w:p w:rsidR="00EE7B5F" w:rsidRDefault="005E5C81">
      <w:pPr>
        <w:pStyle w:val="Titre1"/>
        <w:rPr>
          <w:b w:val="0"/>
        </w:rPr>
      </w:pPr>
      <w:r>
        <w:rPr>
          <w:u w:val="thick"/>
        </w:rPr>
        <w:t>Matériel autorisé</w:t>
      </w:r>
      <w:r>
        <w:t xml:space="preserve"> </w:t>
      </w:r>
      <w:r>
        <w:rPr>
          <w:b w:val="0"/>
        </w:rPr>
        <w:t>:</w:t>
      </w:r>
    </w:p>
    <w:p w:rsidR="00EE7B5F" w:rsidRDefault="005E5C81">
      <w:pPr>
        <w:pStyle w:val="Corpsdetexte"/>
        <w:spacing w:before="92"/>
        <w:ind w:left="312" w:right="2680"/>
      </w:pPr>
      <w:r>
        <w:t>L’usage de la calculatrice avec mode examen actif est autorisé. L’usage de la calculatrice sans mémoire, « type collège » est autorisé.</w:t>
      </w:r>
    </w:p>
    <w:p w:rsidR="00EE7B5F" w:rsidRDefault="00EE7B5F">
      <w:pPr>
        <w:pStyle w:val="Corpsdetexte"/>
      </w:pPr>
    </w:p>
    <w:p w:rsidR="00EE7B5F" w:rsidRDefault="005E5C81">
      <w:pPr>
        <w:pStyle w:val="Titre1"/>
        <w:rPr>
          <w:b w:val="0"/>
        </w:rPr>
      </w:pPr>
      <w:r>
        <w:t>Aucun document autorisé</w:t>
      </w:r>
      <w:r>
        <w:rPr>
          <w:b w:val="0"/>
        </w:rPr>
        <w:t>.</w:t>
      </w:r>
    </w:p>
    <w:p w:rsidR="00EE7B5F" w:rsidRDefault="00EE7B5F">
      <w:pPr>
        <w:pStyle w:val="Corpsdetexte"/>
        <w:spacing w:before="7"/>
        <w:rPr>
          <w:sz w:val="34"/>
        </w:rPr>
      </w:pPr>
    </w:p>
    <w:p w:rsidR="00EE7B5F" w:rsidRDefault="005E5C81">
      <w:pPr>
        <w:spacing w:before="1"/>
        <w:ind w:left="312"/>
        <w:rPr>
          <w:sz w:val="24"/>
        </w:rPr>
      </w:pPr>
      <w:r>
        <w:rPr>
          <w:b/>
          <w:sz w:val="24"/>
          <w:u w:val="thick"/>
        </w:rPr>
        <w:t>Documents à rendre avec la copie</w:t>
      </w:r>
      <w:r>
        <w:rPr>
          <w:b/>
          <w:sz w:val="24"/>
        </w:rPr>
        <w:t xml:space="preserve"> </w:t>
      </w:r>
      <w:r>
        <w:rPr>
          <w:sz w:val="24"/>
        </w:rPr>
        <w:t>:</w:t>
      </w:r>
    </w:p>
    <w:p w:rsidR="00EE7B5F" w:rsidRDefault="005E5C81">
      <w:pPr>
        <w:pStyle w:val="Corpsdetexte"/>
        <w:tabs>
          <w:tab w:val="left" w:pos="6798"/>
        </w:tabs>
        <w:spacing w:before="120"/>
        <w:ind w:left="312"/>
      </w:pPr>
      <w:r>
        <w:t>Annexe</w:t>
      </w:r>
      <w:r>
        <w:rPr>
          <w:spacing w:val="1"/>
        </w:rPr>
        <w:t xml:space="preserve"> </w:t>
      </w:r>
      <w:r>
        <w:t>1</w:t>
      </w:r>
      <w:r>
        <w:tab/>
        <w:t>page</w:t>
      </w:r>
      <w:r>
        <w:rPr>
          <w:spacing w:val="-5"/>
        </w:rPr>
        <w:t xml:space="preserve"> </w:t>
      </w:r>
      <w:r>
        <w:t>7/10</w:t>
      </w:r>
    </w:p>
    <w:p w:rsidR="00EE7B5F" w:rsidRDefault="005E5C81">
      <w:pPr>
        <w:pStyle w:val="Corpsdetexte"/>
        <w:tabs>
          <w:tab w:val="left" w:pos="6796"/>
        </w:tabs>
        <w:spacing w:before="120"/>
        <w:ind w:left="312"/>
      </w:pPr>
      <w:r>
        <w:t>Annexe</w:t>
      </w:r>
      <w:r>
        <w:rPr>
          <w:spacing w:val="1"/>
        </w:rPr>
        <w:t xml:space="preserve"> </w:t>
      </w:r>
      <w:r>
        <w:t>2</w:t>
      </w:r>
      <w:r>
        <w:tab/>
        <w:t>page</w:t>
      </w:r>
      <w:r>
        <w:rPr>
          <w:spacing w:val="-2"/>
        </w:rPr>
        <w:t xml:space="preserve"> </w:t>
      </w:r>
      <w:r>
        <w:t>8/10</w:t>
      </w:r>
    </w:p>
    <w:p w:rsidR="00EE7B5F" w:rsidRDefault="005E5C81">
      <w:pPr>
        <w:pStyle w:val="Corpsdetexte"/>
        <w:tabs>
          <w:tab w:val="left" w:pos="6787"/>
        </w:tabs>
        <w:spacing w:before="120"/>
        <w:ind w:left="312"/>
      </w:pPr>
      <w:r>
        <w:t>Annexe</w:t>
      </w:r>
      <w:r>
        <w:rPr>
          <w:spacing w:val="-1"/>
        </w:rPr>
        <w:t xml:space="preserve"> </w:t>
      </w:r>
      <w:r>
        <w:t>3</w:t>
      </w:r>
      <w:r>
        <w:tab/>
        <w:t>page 9/10.</w:t>
      </w:r>
    </w:p>
    <w:p w:rsidR="00EE7B5F" w:rsidRDefault="00EE7B5F">
      <w:pPr>
        <w:pStyle w:val="Corpsdetexte"/>
        <w:spacing w:before="4"/>
        <w:rPr>
          <w:sz w:val="34"/>
        </w:rPr>
      </w:pPr>
    </w:p>
    <w:p w:rsidR="00EE7B5F" w:rsidRDefault="005E5C81">
      <w:pPr>
        <w:pStyle w:val="Titre1"/>
        <w:spacing w:before="1"/>
        <w:ind w:left="1496" w:right="1695"/>
        <w:jc w:val="center"/>
      </w:pPr>
      <w:r>
        <w:t>Dès que le sujet vous est remis, assurez-vous qu’il est complet. Le sujet se compose de 10 pages, numérotées de 1/10 à 10/10.</w:t>
      </w:r>
    </w:p>
    <w:p w:rsidR="00EE7B5F" w:rsidRDefault="00EE7B5F">
      <w:pPr>
        <w:pStyle w:val="Corpsdetexte"/>
        <w:rPr>
          <w:b/>
          <w:sz w:val="26"/>
        </w:rPr>
      </w:pPr>
    </w:p>
    <w:p w:rsidR="00EE7B5F" w:rsidRDefault="00EE7B5F">
      <w:pPr>
        <w:pStyle w:val="Corpsdetexte"/>
        <w:rPr>
          <w:b/>
          <w:sz w:val="26"/>
        </w:rPr>
      </w:pPr>
    </w:p>
    <w:p w:rsidR="00EE7B5F" w:rsidRDefault="005E5C81">
      <w:pPr>
        <w:spacing w:before="230"/>
        <w:ind w:left="312" w:right="116"/>
        <w:jc w:val="both"/>
        <w:rPr>
          <w:b/>
          <w:sz w:val="24"/>
        </w:rPr>
      </w:pPr>
      <w:r>
        <w:rPr>
          <w:b/>
          <w:sz w:val="24"/>
        </w:rPr>
        <w:t>S’il apparaît au candidat qu’une donnée est manquante ou erronée, il pourra formuler toutes les hypothèses qu’il jugera nécessa</w:t>
      </w:r>
      <w:r>
        <w:rPr>
          <w:b/>
          <w:sz w:val="24"/>
        </w:rPr>
        <w:t>ires pour résoudre les questions posées. Il justifiera, alors, clairement et précisément ces hypothèses.</w:t>
      </w: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spacing w:before="5"/>
        <w:rPr>
          <w:b/>
          <w:sz w:val="23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156"/>
        <w:gridCol w:w="1703"/>
      </w:tblGrid>
      <w:tr w:rsidR="00EE7B5F">
        <w:trPr>
          <w:trHeight w:val="275"/>
        </w:trPr>
        <w:tc>
          <w:tcPr>
            <w:tcW w:w="6919" w:type="dxa"/>
            <w:gridSpan w:val="2"/>
          </w:tcPr>
          <w:p w:rsidR="00EE7B5F" w:rsidRDefault="005E5C81">
            <w:pPr>
              <w:pStyle w:val="TableParagraph"/>
              <w:spacing w:line="250" w:lineRule="exact"/>
              <w:ind w:left="107"/>
            </w:pPr>
            <w:r>
              <w:t>BTS CONTRÔLE INDUSTRIEL ET RÉGULATION AUTOMATIQUE</w:t>
            </w:r>
          </w:p>
        </w:tc>
        <w:tc>
          <w:tcPr>
            <w:tcW w:w="1703" w:type="dxa"/>
          </w:tcPr>
          <w:p w:rsidR="00EE7B5F" w:rsidRDefault="005E5C81">
            <w:pPr>
              <w:pStyle w:val="TableParagraph"/>
              <w:spacing w:before="9" w:line="246" w:lineRule="exact"/>
              <w:ind w:left="140" w:right="137"/>
              <w:jc w:val="center"/>
            </w:pPr>
            <w:r>
              <w:t>Session 2022</w:t>
            </w:r>
          </w:p>
        </w:tc>
      </w:tr>
      <w:tr w:rsidR="00EE7B5F">
        <w:trPr>
          <w:trHeight w:val="566"/>
        </w:trPr>
        <w:tc>
          <w:tcPr>
            <w:tcW w:w="4763" w:type="dxa"/>
          </w:tcPr>
          <w:p w:rsidR="00EE7B5F" w:rsidRDefault="005E5C81">
            <w:pPr>
              <w:pStyle w:val="TableParagraph"/>
              <w:spacing w:before="26" w:line="240" w:lineRule="auto"/>
              <w:ind w:left="107" w:right="345"/>
            </w:pPr>
            <w:r>
              <w:t>Analyse d’une installation d’instrumentation, contrôle et régulation</w:t>
            </w:r>
          </w:p>
        </w:tc>
        <w:tc>
          <w:tcPr>
            <w:tcW w:w="2156" w:type="dxa"/>
          </w:tcPr>
          <w:p w:rsidR="00EE7B5F" w:rsidRDefault="005E5C81">
            <w:pPr>
              <w:pStyle w:val="TableParagraph"/>
              <w:spacing w:before="142" w:line="240" w:lineRule="auto"/>
              <w:ind w:left="107"/>
              <w:rPr>
                <w:sz w:val="24"/>
              </w:rPr>
            </w:pPr>
            <w:r>
              <w:t xml:space="preserve">Code : </w:t>
            </w:r>
            <w:r>
              <w:rPr>
                <w:sz w:val="24"/>
              </w:rPr>
              <w:t>22CA52AII</w:t>
            </w:r>
          </w:p>
        </w:tc>
        <w:tc>
          <w:tcPr>
            <w:tcW w:w="1703" w:type="dxa"/>
          </w:tcPr>
          <w:p w:rsidR="00EE7B5F" w:rsidRDefault="005E5C81">
            <w:pPr>
              <w:pStyle w:val="TableParagraph"/>
              <w:spacing w:before="151" w:line="240" w:lineRule="auto"/>
              <w:ind w:left="145" w:right="137"/>
              <w:jc w:val="center"/>
              <w:rPr>
                <w:b/>
              </w:rPr>
            </w:pPr>
            <w:r>
              <w:t xml:space="preserve">Page </w:t>
            </w:r>
            <w:r>
              <w:rPr>
                <w:b/>
              </w:rPr>
              <w:t xml:space="preserve">1 </w:t>
            </w:r>
            <w:r>
              <w:t xml:space="preserve">sur </w:t>
            </w:r>
            <w:r>
              <w:rPr>
                <w:b/>
              </w:rPr>
              <w:t>10</w:t>
            </w:r>
          </w:p>
        </w:tc>
      </w:tr>
    </w:tbl>
    <w:p w:rsidR="00EE7B5F" w:rsidRDefault="00EE7B5F">
      <w:pPr>
        <w:jc w:val="center"/>
        <w:sectPr w:rsidR="00EE7B5F">
          <w:type w:val="continuous"/>
          <w:pgSz w:w="11910" w:h="16840"/>
          <w:pgMar w:top="1580" w:right="620" w:bottom="280" w:left="820" w:header="720" w:footer="720" w:gutter="0"/>
          <w:cols w:space="720"/>
        </w:sectPr>
      </w:pPr>
    </w:p>
    <w:p w:rsidR="00EE7B5F" w:rsidRDefault="005E5C81">
      <w:pPr>
        <w:spacing w:before="74"/>
        <w:ind w:left="135" w:right="334"/>
        <w:jc w:val="center"/>
        <w:rPr>
          <w:b/>
          <w:sz w:val="24"/>
        </w:rPr>
      </w:pPr>
      <w:r>
        <w:lastRenderedPageBreak/>
        <w:pict>
          <v:shape id="_x0000_s1059" type="#_x0000_t202" style="position:absolute;left:0;text-align:left;margin-left:169.3pt;margin-top:569.05pt;width:13.15pt;height:65.25pt;z-index:15732736;mso-position-horizontal-relative:page;mso-position-vertical-relative:page" filled="f" stroked="f">
            <v:textbox style="layout-flow:vertical;mso-layout-flow-alt:bottom-to-top;mso-next-textbox:#_x0000_s1059" inset="0,0,0,0">
              <w:txbxContent>
                <w:p w:rsidR="00EE7B5F" w:rsidRDefault="005E5C8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REACTEUR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87pt;margin-top:524.75pt;width:13.15pt;height:130.85pt;z-index:15733248;mso-position-horizontal-relative:page;mso-position-vertical-relative:page" filled="f" stroked="f">
            <v:textbox style="layout-flow:vertical;mso-layout-flow-alt:bottom-to-top;mso-next-textbox:#_x0000_s1058" inset="0,0,0,0">
              <w:txbxContent>
                <w:p w:rsidR="00EE7B5F" w:rsidRDefault="005E5C8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COLONNE RECTIFICATION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87pt;margin-top:513.6pt;width:13.15pt;height:7.55pt;z-index:15733760;mso-position-horizontal-relative:page;mso-position-vertical-relative:page" filled="f" stroked="f">
            <v:textbox style="layout-flow:vertical;mso-layout-flow-alt:bottom-to-top;mso-next-textbox:#_x0000_s1057" inset="0,0,0,0">
              <w:txbxContent>
                <w:p w:rsidR="00EE7B5F" w:rsidRDefault="005E5C8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SYNTHÈSE DE L’ACIDE ÉTHANOÏQUE</w:t>
      </w:r>
    </w:p>
    <w:p w:rsidR="00EE7B5F" w:rsidRDefault="00EE7B5F">
      <w:pPr>
        <w:pStyle w:val="Corpsdetexte"/>
        <w:spacing w:before="2"/>
        <w:rPr>
          <w:b/>
        </w:rPr>
      </w:pPr>
    </w:p>
    <w:p w:rsidR="00EE7B5F" w:rsidRDefault="005E5C81">
      <w:pPr>
        <w:pStyle w:val="Corpsdetexte"/>
        <w:ind w:left="312" w:right="521"/>
        <w:jc w:val="both"/>
      </w:pPr>
      <w:r>
        <w:t>L’oxydation de l'acétaldéhyde (ou éthanal) demeure la seconde voie la plus importante de synthèse de l'</w:t>
      </w:r>
      <w:r>
        <w:t xml:space="preserve">acide éthanoïque ou acide acétique, bien qu'elle ne soit pas compétitive par rapport à la </w:t>
      </w:r>
      <w:proofErr w:type="spellStart"/>
      <w:r>
        <w:t>carbonylation</w:t>
      </w:r>
      <w:proofErr w:type="spellEnd"/>
      <w:r>
        <w:t xml:space="preserve"> du méthanol.</w:t>
      </w:r>
    </w:p>
    <w:p w:rsidR="00EE7B5F" w:rsidRDefault="00EE7B5F">
      <w:pPr>
        <w:pStyle w:val="Corpsdetexte"/>
        <w:spacing w:before="5"/>
      </w:pPr>
    </w:p>
    <w:p w:rsidR="00EE7B5F" w:rsidRDefault="005E5C81">
      <w:pPr>
        <w:pStyle w:val="Corpsdetexte"/>
        <w:spacing w:before="1"/>
        <w:ind w:left="312" w:right="518"/>
        <w:jc w:val="both"/>
      </w:pPr>
      <w:r>
        <w:t xml:space="preserve">À 70°C et 10 </w:t>
      </w:r>
      <w:proofErr w:type="gramStart"/>
      <w:r>
        <w:t>bar</w:t>
      </w:r>
      <w:proofErr w:type="gramEnd"/>
      <w:r>
        <w:t>, en présence de différents ions métalliques, en particulier de manganèse, de cobalt et de chrome, qui jouent le rôle de c</w:t>
      </w:r>
      <w:r>
        <w:t>atalyseur, l'acétaldéhyde peut être oxydé par le dioxygène de l'air pour produire de l'acide acétique. L’équation de la réaction modélisant la transformation chimique s’écrit :</w:t>
      </w:r>
    </w:p>
    <w:p w:rsidR="00EE7B5F" w:rsidRDefault="00EE7B5F">
      <w:pPr>
        <w:pStyle w:val="Corpsdetexte"/>
        <w:spacing w:before="4"/>
      </w:pPr>
    </w:p>
    <w:p w:rsidR="00EE7B5F" w:rsidRDefault="005E5C81">
      <w:pPr>
        <w:pStyle w:val="Corpsdetexte"/>
        <w:ind w:left="137" w:right="334"/>
        <w:jc w:val="center"/>
      </w:pPr>
      <w:r>
        <w:rPr>
          <w:position w:val="1"/>
        </w:rPr>
        <w:t>2 CH</w:t>
      </w:r>
      <w:r>
        <w:rPr>
          <w:sz w:val="16"/>
        </w:rPr>
        <w:t>3</w:t>
      </w:r>
      <w:r>
        <w:rPr>
          <w:position w:val="1"/>
        </w:rPr>
        <w:t>CHO + O</w:t>
      </w:r>
      <w:r>
        <w:rPr>
          <w:sz w:val="16"/>
        </w:rPr>
        <w:t xml:space="preserve">2 </w:t>
      </w:r>
      <w:r>
        <w:rPr>
          <w:position w:val="1"/>
        </w:rPr>
        <w:t>→ 2 CH</w:t>
      </w:r>
      <w:r>
        <w:rPr>
          <w:sz w:val="16"/>
        </w:rPr>
        <w:t>3</w:t>
      </w:r>
      <w:r>
        <w:rPr>
          <w:position w:val="1"/>
        </w:rPr>
        <w:t>COOH (a)</w:t>
      </w:r>
    </w:p>
    <w:p w:rsidR="00EE7B5F" w:rsidRDefault="005E5C81">
      <w:pPr>
        <w:pStyle w:val="Corpsdetexte"/>
        <w:tabs>
          <w:tab w:val="left" w:pos="4945"/>
        </w:tabs>
        <w:ind w:left="2449"/>
      </w:pPr>
      <w:hyperlink r:id="rId8">
        <w:proofErr w:type="gramStart"/>
        <w:r>
          <w:t>acétaldéhyde</w:t>
        </w:r>
        <w:proofErr w:type="gramEnd"/>
      </w:hyperlink>
      <w:r>
        <w:tab/>
        <w:t>acide acétique</w:t>
      </w:r>
    </w:p>
    <w:p w:rsidR="00EE7B5F" w:rsidRDefault="00EE7B5F">
      <w:pPr>
        <w:pStyle w:val="Corpsdetexte"/>
        <w:spacing w:before="3"/>
      </w:pPr>
    </w:p>
    <w:p w:rsidR="00EE7B5F" w:rsidRDefault="005E5C81">
      <w:pPr>
        <w:pStyle w:val="Corpsdetexte"/>
        <w:ind w:left="312" w:right="509"/>
        <w:jc w:val="both"/>
      </w:pPr>
      <w:r>
        <w:t>Grâce aux catalyseurs, cette transformation chimique peut atteindre un rendement de plus de 95 %. Les principaux sous-produits sont l'</w:t>
      </w:r>
      <w:hyperlink r:id="rId9">
        <w:r>
          <w:t>a</w:t>
        </w:r>
        <w:r>
          <w:t>cétate d'éthyle</w:t>
        </w:r>
      </w:hyperlink>
      <w:r>
        <w:t>, l'</w:t>
      </w:r>
      <w:hyperlink r:id="rId10">
        <w:r>
          <w:t>acide formique</w:t>
        </w:r>
      </w:hyperlink>
      <w:r>
        <w:t xml:space="preserve"> et le </w:t>
      </w:r>
      <w:hyperlink r:id="rId11">
        <w:r>
          <w:t>formaldéhyde</w:t>
        </w:r>
      </w:hyperlink>
      <w:r>
        <w:t xml:space="preserve">. Tous ces composés ont une température d'ébullition inférieure </w:t>
      </w:r>
      <w:r>
        <w:t xml:space="preserve">à celle de l'acide acétique et peuvent être facilement séparés par </w:t>
      </w:r>
      <w:hyperlink r:id="rId12">
        <w:r>
          <w:t>distillation</w:t>
        </w:r>
      </w:hyperlink>
      <w:r>
        <w:t>.</w:t>
      </w:r>
    </w:p>
    <w:p w:rsidR="00EE7B5F" w:rsidRDefault="00EE7B5F">
      <w:pPr>
        <w:pStyle w:val="Corpsdetexte"/>
        <w:spacing w:before="5"/>
      </w:pPr>
    </w:p>
    <w:p w:rsidR="00EE7B5F" w:rsidRDefault="005E5C81">
      <w:pPr>
        <w:pStyle w:val="Corpsdetexte"/>
        <w:ind w:left="312" w:right="510"/>
        <w:jc w:val="both"/>
      </w:pPr>
      <w:r>
        <w:t>La production totale d'acide acétique est estimée à 5 mégatonnes par an, dont environ la moitié vient des États-</w:t>
      </w:r>
      <w:r>
        <w:t>Unis. La production européenne se situe à environ 1 mégatonne par an</w:t>
      </w:r>
      <w:r>
        <w:rPr>
          <w:spacing w:val="-11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diminution.</w:t>
      </w:r>
      <w:r>
        <w:rPr>
          <w:spacing w:val="-10"/>
        </w:rPr>
        <w:t xml:space="preserve"> </w:t>
      </w:r>
      <w:r>
        <w:t>Enfin</w:t>
      </w:r>
      <w:r>
        <w:rPr>
          <w:spacing w:val="-11"/>
        </w:rPr>
        <w:t xml:space="preserve"> </w:t>
      </w:r>
      <w:r>
        <w:t>0,7</w:t>
      </w:r>
      <w:r>
        <w:rPr>
          <w:spacing w:val="-2"/>
        </w:rPr>
        <w:t xml:space="preserve"> </w:t>
      </w:r>
      <w:r>
        <w:t>mégatonne</w:t>
      </w:r>
      <w:r>
        <w:rPr>
          <w:spacing w:val="-10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fabriquée</w:t>
      </w:r>
      <w:r>
        <w:rPr>
          <w:spacing w:val="-8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Japon.</w:t>
      </w:r>
      <w:r>
        <w:rPr>
          <w:spacing w:val="-1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mégatonne par an est recyclée, ce qui situe le marché mondial à 6,5 mégatonnes par</w:t>
      </w:r>
      <w:r>
        <w:rPr>
          <w:spacing w:val="-14"/>
        </w:rPr>
        <w:t xml:space="preserve"> </w:t>
      </w:r>
      <w:r>
        <w:t>an.</w:t>
      </w:r>
    </w:p>
    <w:p w:rsidR="00EE7B5F" w:rsidRDefault="00EE7B5F">
      <w:pPr>
        <w:pStyle w:val="Corpsdetexte"/>
        <w:rPr>
          <w:sz w:val="26"/>
        </w:rPr>
      </w:pPr>
    </w:p>
    <w:p w:rsidR="00EE7B5F" w:rsidRDefault="00EE7B5F">
      <w:pPr>
        <w:pStyle w:val="Corpsdetexte"/>
        <w:rPr>
          <w:sz w:val="22"/>
        </w:rPr>
      </w:pPr>
    </w:p>
    <w:p w:rsidR="00EE7B5F" w:rsidRDefault="005E5C81">
      <w:pPr>
        <w:pStyle w:val="Titre1"/>
        <w:spacing w:before="1"/>
        <w:jc w:val="both"/>
      </w:pPr>
      <w:r>
        <w:pict>
          <v:group id="_x0000_s1049" style="position:absolute;left:0;text-align:left;margin-left:60.75pt;margin-top:20.15pt;width:422.7pt;height:305.05pt;z-index:15732224;mso-position-horizontal-relative:page" coordorigin="1215,403" coordsize="8454,61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277;top:629;width:8392;height:5874">
              <v:imagedata r:id="rId13" o:title=""/>
            </v:shape>
            <v:shape id="_x0000_s1055" style="position:absolute;left:1215;top:402;width:7065;height:4982" coordorigin="1215,403" coordsize="7065,4982" o:spt="100" adj="0,,0" path="m3315,1678r-2100,l1215,2293r2100,l3315,1678xm3690,3129r-300,l3390,4961r300,l3690,3129xm8055,2488r-315,l7740,5385r315,l8055,2488xm8280,403r-3375,l4905,853r3375,l8280,403xe" stroked="f">
              <v:stroke joinstyle="round"/>
              <v:formulas/>
              <v:path arrowok="t" o:connecttype="segments"/>
            </v:shape>
            <v:shape id="_x0000_s1054" type="#_x0000_t202" style="position:absolute;left:4913;top:416;width:3262;height:269" filled="f" stroked="f">
              <v:textbox style="mso-next-textbox:#_x0000_s1054" inset="0,0,0,0">
                <w:txbxContent>
                  <w:p w:rsidR="00EE7B5F" w:rsidRDefault="005E5C81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Débit Recyclage acétaldéhyde</w:t>
                    </w:r>
                  </w:p>
                </w:txbxContent>
              </v:textbox>
            </v:shape>
            <v:shape id="_x0000_s1053" type="#_x0000_t202" style="position:absolute;left:6233;top:1362;width:537;height:269" filled="f" stroked="f">
              <v:textbox style="mso-next-textbox:#_x0000_s1053" inset="0,0,0,0">
                <w:txbxContent>
                  <w:p w:rsidR="00EE7B5F" w:rsidRDefault="005E5C81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Eau </w:t>
                    </w:r>
                  </w:p>
                </w:txbxContent>
              </v:textbox>
            </v:shape>
            <v:shape id="_x0000_s1052" type="#_x0000_t202" style="position:absolute;left:1222;top:1691;width:2001;height:545" filled="f" stroked="f">
              <v:textbox style="mso-next-textbox:#_x0000_s1052" inset="0,0,0,0">
                <w:txbxContent>
                  <w:p w:rsidR="00EE7B5F" w:rsidRDefault="005E5C8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Débit Catalyseur + acétaldéhyde</w:t>
                    </w:r>
                  </w:p>
                </w:txbxContent>
              </v:textbox>
            </v:shape>
            <v:shape id="_x0000_s1051" type="#_x0000_t202" style="position:absolute;left:1327;top:4976;width:1573;height:269" filled="f" stroked="f">
              <v:textbox style="mso-next-textbox:#_x0000_s1051" inset="0,0,0,0">
                <w:txbxContent>
                  <w:p w:rsidR="00EE7B5F" w:rsidRDefault="005E5C81">
                    <w:pPr>
                      <w:spacing w:line="269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Air comprimé </w:t>
                    </w:r>
                  </w:p>
                </w:txbxContent>
              </v:textbox>
            </v:shape>
            <v:shape id="_x0000_s1050" type="#_x0000_t202" style="position:absolute;left:5865;top:5742;width:1875;height:705" stroked="f">
              <v:textbox style="mso-next-textbox:#_x0000_s1050" inset="0,0,0,0">
                <w:txbxContent>
                  <w:p w:rsidR="00EE7B5F" w:rsidRDefault="005E5C81">
                    <w:pPr>
                      <w:spacing w:before="8"/>
                      <w:ind w:left="8" w:right="5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Fraction riche en acide acétique</w:t>
                    </w:r>
                  </w:p>
                </w:txbxContent>
              </v:textbox>
            </v:shape>
            <w10:wrap anchorx="page"/>
          </v:group>
        </w:pict>
      </w:r>
      <w:r>
        <w:t>DESCRIPTION DU PROCÉDÉ</w:t>
      </w:r>
    </w:p>
    <w:p w:rsidR="00EE7B5F" w:rsidRDefault="00EE7B5F">
      <w:pPr>
        <w:jc w:val="both"/>
        <w:sectPr w:rsidR="00EE7B5F">
          <w:footerReference w:type="default" r:id="rId14"/>
          <w:pgSz w:w="11910" w:h="16840"/>
          <w:pgMar w:top="700" w:right="620" w:bottom="1300" w:left="820" w:header="0" w:footer="1118" w:gutter="0"/>
          <w:pgNumType w:start="2"/>
          <w:cols w:space="720"/>
        </w:sectPr>
      </w:pPr>
    </w:p>
    <w:p w:rsidR="00EE7B5F" w:rsidRDefault="005E5C81">
      <w:pPr>
        <w:pStyle w:val="Corpsdetexte"/>
        <w:spacing w:before="74"/>
        <w:ind w:left="312"/>
        <w:jc w:val="both"/>
      </w:pPr>
      <w:r>
        <w:t xml:space="preserve">Le réacteur (1) est une tour cylindrique fonctionnant sous une pression de 10 </w:t>
      </w:r>
      <w:proofErr w:type="gramStart"/>
      <w:r>
        <w:t>bar</w:t>
      </w:r>
      <w:proofErr w:type="gramEnd"/>
      <w:r>
        <w:t>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10"/>
        <w:jc w:val="both"/>
      </w:pPr>
      <w:r>
        <w:t xml:space="preserve">Au sommet de ce réacteur sont introduits à l’aide d’une rampe de pulvérisation : l’acétaldéhyde recyclé provenant de la colonne de rectification (4), et le catalyseur (mis </w:t>
      </w:r>
      <w:r>
        <w:t>en solution dans l’acétaldéhyde). Le réacteur est alimenté en air comprimé à contre-courant. Les débits des réactifs sont maintenus constants.</w:t>
      </w:r>
    </w:p>
    <w:p w:rsidR="00EE7B5F" w:rsidRDefault="005E5C81">
      <w:pPr>
        <w:pStyle w:val="Corpsdetexte"/>
        <w:ind w:left="312" w:right="515"/>
        <w:jc w:val="both"/>
      </w:pPr>
      <w:r>
        <w:t xml:space="preserve">La réaction étant exothermique, il faut évacuer l’énergie libérée. Pour cela, une fraction du milieu réactionnel </w:t>
      </w:r>
      <w:r>
        <w:t>circule au moyen d’une pompe centrifuge, au travers d’un échangeur (2) alimenté en eau, la circulation des fluides s'effectuant à contre-courant.</w:t>
      </w:r>
    </w:p>
    <w:p w:rsidR="00EE7B5F" w:rsidRDefault="005E5C81">
      <w:pPr>
        <w:pStyle w:val="Corpsdetexte"/>
        <w:ind w:left="312" w:right="519"/>
        <w:jc w:val="both"/>
      </w:pPr>
      <w:r>
        <w:t>Le débit du milieu réactionnel recyclé est constant et la température dans le réacteur est régulée par le débi</w:t>
      </w:r>
      <w:r>
        <w:t>t d’eau. Les gaz résiduaires sortant du réacteur, entraînant de faibles quantités de produits et de réactifs, sont détendus et introduits dans une colonne de lavage</w:t>
      </w:r>
      <w:r>
        <w:rPr>
          <w:spacing w:val="1"/>
        </w:rPr>
        <w:t xml:space="preserve"> </w:t>
      </w:r>
      <w:r>
        <w:t>(3).</w:t>
      </w:r>
    </w:p>
    <w:p w:rsidR="00EE7B5F" w:rsidRDefault="005E5C81">
      <w:pPr>
        <w:pStyle w:val="Corpsdetexte"/>
        <w:ind w:left="312" w:right="509"/>
        <w:jc w:val="both"/>
      </w:pPr>
      <w:r>
        <w:t>Les</w:t>
      </w:r>
      <w:r>
        <w:rPr>
          <w:spacing w:val="-5"/>
        </w:rPr>
        <w:t xml:space="preserve"> </w:t>
      </w:r>
      <w:r>
        <w:t>gaz</w:t>
      </w:r>
      <w:r>
        <w:rPr>
          <w:spacing w:val="-7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lavés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l’eau</w:t>
      </w:r>
      <w:r>
        <w:rPr>
          <w:spacing w:val="-6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d’être</w:t>
      </w:r>
      <w:r>
        <w:rPr>
          <w:spacing w:val="-5"/>
        </w:rPr>
        <w:t xml:space="preserve"> </w:t>
      </w:r>
      <w:r>
        <w:t>rejetés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l’atmosphère.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récupérée</w:t>
      </w:r>
      <w:r>
        <w:rPr>
          <w:spacing w:val="-4"/>
        </w:rPr>
        <w:t xml:space="preserve"> </w:t>
      </w:r>
      <w:r>
        <w:t>en pied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colonne</w:t>
      </w:r>
      <w:r>
        <w:rPr>
          <w:spacing w:val="-12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recyclée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renvoyée,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l’aide</w:t>
      </w:r>
      <w:r>
        <w:rPr>
          <w:spacing w:val="-11"/>
        </w:rPr>
        <w:t xml:space="preserve"> </w:t>
      </w:r>
      <w:r>
        <w:t>d’une</w:t>
      </w:r>
      <w:r>
        <w:rPr>
          <w:spacing w:val="-11"/>
        </w:rPr>
        <w:t xml:space="preserve"> </w:t>
      </w:r>
      <w:r>
        <w:t>pompe</w:t>
      </w:r>
      <w:r>
        <w:rPr>
          <w:spacing w:val="-11"/>
        </w:rPr>
        <w:t xml:space="preserve"> </w:t>
      </w:r>
      <w:r>
        <w:t>centrifuge,</w:t>
      </w:r>
      <w:r>
        <w:rPr>
          <w:spacing w:val="-12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réacteur. Le milieu réactionnel est soutiré du réacteur (1) en fonction du niveau de liquide dans (1) puis</w:t>
      </w:r>
      <w:r>
        <w:rPr>
          <w:spacing w:val="-18"/>
        </w:rPr>
        <w:t xml:space="preserve"> </w:t>
      </w:r>
      <w:r>
        <w:t>envoyé</w:t>
      </w:r>
      <w:r>
        <w:rPr>
          <w:spacing w:val="-16"/>
        </w:rPr>
        <w:t xml:space="preserve"> </w:t>
      </w:r>
      <w:r>
        <w:t>par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pompe</w:t>
      </w:r>
      <w:r>
        <w:rPr>
          <w:spacing w:val="-16"/>
        </w:rPr>
        <w:t xml:space="preserve"> </w:t>
      </w:r>
      <w:r>
        <w:t>(5)</w:t>
      </w:r>
      <w:r>
        <w:rPr>
          <w:spacing w:val="-17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une</w:t>
      </w:r>
      <w:r>
        <w:rPr>
          <w:spacing w:val="-16"/>
        </w:rPr>
        <w:t xml:space="preserve"> </w:t>
      </w:r>
      <w:r>
        <w:t>colonne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rectifica</w:t>
      </w:r>
      <w:r>
        <w:t>tion</w:t>
      </w:r>
      <w:r>
        <w:rPr>
          <w:spacing w:val="-16"/>
        </w:rPr>
        <w:t xml:space="preserve"> </w:t>
      </w:r>
      <w:r>
        <w:t>(4).</w:t>
      </w:r>
      <w:r>
        <w:rPr>
          <w:spacing w:val="-16"/>
        </w:rPr>
        <w:t xml:space="preserve"> </w:t>
      </w:r>
      <w:r>
        <w:t>Cette</w:t>
      </w:r>
      <w:r>
        <w:rPr>
          <w:spacing w:val="-16"/>
        </w:rPr>
        <w:t xml:space="preserve"> </w:t>
      </w:r>
      <w:r>
        <w:t>colonne</w:t>
      </w:r>
      <w:r>
        <w:rPr>
          <w:spacing w:val="-18"/>
        </w:rPr>
        <w:t xml:space="preserve"> </w:t>
      </w:r>
      <w:r>
        <w:t>fonctionne sous</w:t>
      </w:r>
      <w:r>
        <w:rPr>
          <w:spacing w:val="-7"/>
        </w:rPr>
        <w:t xml:space="preserve"> </w:t>
      </w:r>
      <w:r>
        <w:t>pression.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tête,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récupère</w:t>
      </w:r>
      <w:r>
        <w:rPr>
          <w:spacing w:val="-7"/>
        </w:rPr>
        <w:t xml:space="preserve"> </w:t>
      </w:r>
      <w:r>
        <w:t>l’éthanal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converti</w:t>
      </w:r>
      <w:r>
        <w:rPr>
          <w:spacing w:val="-4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recyclé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(1).</w:t>
      </w:r>
      <w:r>
        <w:rPr>
          <w:spacing w:val="-4"/>
        </w:rPr>
        <w:t xml:space="preserve"> </w:t>
      </w:r>
      <w:r>
        <w:t>En pied, on obtient une fraction riche en acide</w:t>
      </w:r>
      <w:r>
        <w:rPr>
          <w:spacing w:val="-16"/>
        </w:rPr>
        <w:t xml:space="preserve"> </w:t>
      </w:r>
      <w:r>
        <w:t>acétique.</w:t>
      </w:r>
    </w:p>
    <w:p w:rsidR="00EE7B5F" w:rsidRDefault="00EE7B5F">
      <w:pPr>
        <w:pStyle w:val="Corpsdetexte"/>
        <w:spacing w:before="1"/>
      </w:pPr>
    </w:p>
    <w:p w:rsidR="00EE7B5F" w:rsidRDefault="005E5C81">
      <w:pPr>
        <w:pStyle w:val="Corpsdetexte"/>
        <w:ind w:left="312" w:right="1212"/>
      </w:pPr>
      <w:r>
        <w:t>On précise que les vannes de régulation V1 et V2 sont NF, les vannes de régulation V3, V5, V6 sont NO et de type électropneumatique. (Cf. ANNEXE 1)</w:t>
      </w:r>
    </w:p>
    <w:p w:rsidR="00EE7B5F" w:rsidRDefault="00EE7B5F">
      <w:pPr>
        <w:pStyle w:val="Corpsdetexte"/>
      </w:pPr>
    </w:p>
    <w:p w:rsidR="00EE7B5F" w:rsidRDefault="005E5C81">
      <w:pPr>
        <w:pStyle w:val="Titre1"/>
      </w:pPr>
      <w:r>
        <w:rPr>
          <w:u w:val="thick"/>
        </w:rPr>
        <w:t>Boucle de régulation du débit d’éthanal recyclé</w:t>
      </w:r>
    </w:p>
    <w:p w:rsidR="00EE7B5F" w:rsidRDefault="00EE7B5F">
      <w:pPr>
        <w:pStyle w:val="Corpsdetexte"/>
        <w:rPr>
          <w:b/>
          <w:sz w:val="16"/>
        </w:rPr>
      </w:pPr>
    </w:p>
    <w:p w:rsidR="00EE7B5F" w:rsidRDefault="005E5C81">
      <w:pPr>
        <w:pStyle w:val="Corpsdetexte"/>
        <w:spacing w:before="92"/>
        <w:ind w:left="312"/>
      </w:pPr>
      <w:r>
        <w:rPr>
          <w:b/>
        </w:rPr>
        <w:t xml:space="preserve">Q1 - </w:t>
      </w:r>
      <w:r>
        <w:t xml:space="preserve">Identifier la grandeur réglée, la grandeur </w:t>
      </w:r>
      <w:proofErr w:type="spellStart"/>
      <w:r>
        <w:t>réglante</w:t>
      </w:r>
      <w:proofErr w:type="spellEnd"/>
      <w:r>
        <w:t>, la grandeur perturbatrice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</w:pPr>
      <w:r>
        <w:rPr>
          <w:b/>
        </w:rPr>
        <w:t>Q2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Compléter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schéma</w:t>
      </w:r>
      <w:r>
        <w:rPr>
          <w:spacing w:val="-16"/>
        </w:rPr>
        <w:t xml:space="preserve"> </w:t>
      </w:r>
      <w:r>
        <w:t>TI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annexe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avec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boucle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régulation</w:t>
      </w:r>
      <w:r>
        <w:rPr>
          <w:spacing w:val="-11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débit</w:t>
      </w:r>
      <w:r>
        <w:rPr>
          <w:spacing w:val="-14"/>
        </w:rPr>
        <w:t xml:space="preserve"> </w:t>
      </w:r>
      <w:r>
        <w:t>d’éthanal recyclé.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72"/>
      </w:pPr>
      <w:r>
        <w:rPr>
          <w:b/>
        </w:rPr>
        <w:t xml:space="preserve">Q3 - </w:t>
      </w:r>
      <w:r>
        <w:t>Déterminer par un raisonnement cohérent et complet le sens d’action du</w:t>
      </w:r>
      <w:r>
        <w:t xml:space="preserve"> régulateur à programmer.</w:t>
      </w:r>
    </w:p>
    <w:p w:rsidR="00EE7B5F" w:rsidRDefault="00EE7B5F">
      <w:pPr>
        <w:pStyle w:val="Corpsdetexte"/>
        <w:spacing w:before="1"/>
      </w:pPr>
    </w:p>
    <w:p w:rsidR="00EE7B5F" w:rsidRDefault="005E5C81">
      <w:pPr>
        <w:pStyle w:val="Titre1"/>
      </w:pPr>
      <w:r>
        <w:rPr>
          <w:u w:val="thick"/>
        </w:rPr>
        <w:t>Boucle de régulation de niveau dans le réacteur</w:t>
      </w:r>
    </w:p>
    <w:p w:rsidR="00EE7B5F" w:rsidRDefault="00EE7B5F">
      <w:pPr>
        <w:pStyle w:val="Corpsdetexte"/>
        <w:spacing w:before="9"/>
        <w:rPr>
          <w:b/>
          <w:sz w:val="15"/>
        </w:rPr>
      </w:pPr>
    </w:p>
    <w:p w:rsidR="00EE7B5F" w:rsidRDefault="005E5C81">
      <w:pPr>
        <w:pStyle w:val="Corpsdetexte"/>
        <w:spacing w:before="92"/>
        <w:ind w:left="312"/>
        <w:jc w:val="both"/>
      </w:pPr>
      <w:r>
        <w:rPr>
          <w:b/>
        </w:rPr>
        <w:t xml:space="preserve">Q4 - </w:t>
      </w:r>
      <w:r>
        <w:t xml:space="preserve">Identifier la grandeur réglée, la grandeur </w:t>
      </w:r>
      <w:proofErr w:type="spellStart"/>
      <w:r>
        <w:t>réglante</w:t>
      </w:r>
      <w:proofErr w:type="spellEnd"/>
      <w:r>
        <w:t>, la grandeur perturbatrice.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80"/>
        <w:jc w:val="both"/>
      </w:pPr>
      <w:r>
        <w:rPr>
          <w:b/>
        </w:rPr>
        <w:t xml:space="preserve">Q5 - </w:t>
      </w:r>
      <w:r>
        <w:t>Compléter le schéma TI en annexe 1 avec votre boucle de régulation de niveau dans le réacteur.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90"/>
        <w:jc w:val="both"/>
      </w:pPr>
      <w:r>
        <w:rPr>
          <w:b/>
        </w:rPr>
        <w:t xml:space="preserve">Q6 - </w:t>
      </w:r>
      <w:r>
        <w:t>Déterminer par un raisonnement cohérent et complet le sens d’action du régulateur à programmer.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09"/>
        <w:jc w:val="both"/>
      </w:pPr>
      <w:r>
        <w:t>La mesure du niveau en pied de réacteur est réalisée par u</w:t>
      </w:r>
      <w:r>
        <w:t xml:space="preserve">n capteur de pression différentielle dont le montage est fourni en annexe 2. Les colonnes d’instrumentation sont remplies de fluide de masse volumiques 850 </w:t>
      </w:r>
      <w:proofErr w:type="spellStart"/>
      <w:r>
        <w:t>kg</w:t>
      </w:r>
      <w:r>
        <w:rPr>
          <w:rFonts w:ascii="Symbol" w:hAnsi="Symbol"/>
        </w:rPr>
        <w:t></w:t>
      </w:r>
      <w:r>
        <w:t>m</w:t>
      </w:r>
      <w:proofErr w:type="spellEnd"/>
      <w:r>
        <w:rPr>
          <w:position w:val="8"/>
          <w:sz w:val="16"/>
        </w:rPr>
        <w:t>–3</w:t>
      </w:r>
      <w:r>
        <w:t>. La masse volumique de la phase gazeuse peut être négligée.</w:t>
      </w:r>
    </w:p>
    <w:p w:rsidR="00EE7B5F" w:rsidRDefault="00EE7B5F">
      <w:pPr>
        <w:pStyle w:val="Corpsdetexte"/>
        <w:spacing w:before="2"/>
      </w:pPr>
    </w:p>
    <w:p w:rsidR="00EE7B5F" w:rsidRDefault="005E5C81">
      <w:pPr>
        <w:pStyle w:val="Corpsdetexte"/>
        <w:ind w:left="312" w:right="520"/>
        <w:jc w:val="both"/>
      </w:pPr>
      <w:r>
        <w:rPr>
          <w:b/>
        </w:rPr>
        <w:t xml:space="preserve">Q7  -  </w:t>
      </w:r>
      <w:r>
        <w:t>Préciser  le  rôle  de  chacune  des  vannes  manuelles  numérotées  de  1  à  5   (Cf. ANNEXE 2). Ces 5 vannes sont généralement montées ensemble dans un même dispositif. Comment s’appelle-t-il</w:t>
      </w:r>
      <w:r>
        <w:rPr>
          <w:spacing w:val="-2"/>
        </w:rPr>
        <w:t xml:space="preserve"> </w:t>
      </w:r>
      <w:r>
        <w:t>?</w:t>
      </w:r>
    </w:p>
    <w:p w:rsidR="00EE7B5F" w:rsidRDefault="00EE7B5F">
      <w:pPr>
        <w:jc w:val="both"/>
        <w:sectPr w:rsidR="00EE7B5F">
          <w:pgSz w:w="11910" w:h="16840"/>
          <w:pgMar w:top="700" w:right="620" w:bottom="1300" w:left="820" w:header="0" w:footer="1118" w:gutter="0"/>
          <w:cols w:space="720"/>
        </w:sectPr>
      </w:pPr>
    </w:p>
    <w:p w:rsidR="00EE7B5F" w:rsidRDefault="005E5C81">
      <w:pPr>
        <w:pStyle w:val="Corpsdetexte"/>
        <w:spacing w:before="74"/>
        <w:ind w:left="312" w:right="513"/>
        <w:jc w:val="both"/>
        <w:rPr>
          <w:b/>
        </w:rPr>
      </w:pPr>
      <w:r>
        <w:rPr>
          <w:b/>
        </w:rPr>
        <w:t>Q8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Déterminer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décalage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zéro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</w:t>
      </w:r>
      <w:r>
        <w:t>étendue</w:t>
      </w:r>
      <w:r>
        <w:rPr>
          <w:spacing w:val="-6"/>
        </w:rPr>
        <w:t xml:space="preserve"> </w:t>
      </w:r>
      <w:r>
        <w:t>d’échelle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capteur</w:t>
      </w:r>
      <w:r>
        <w:rPr>
          <w:spacing w:val="-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 xml:space="preserve">données fournies sur le schéma en annexe 2. On prendra </w:t>
      </w:r>
      <w:r>
        <w:rPr>
          <w:i/>
        </w:rPr>
        <w:t xml:space="preserve">g </w:t>
      </w:r>
      <w:r>
        <w:t>= 9,8</w:t>
      </w:r>
      <w:r>
        <w:rPr>
          <w:spacing w:val="-2"/>
        </w:rPr>
        <w:t xml:space="preserve"> </w:t>
      </w:r>
      <w:proofErr w:type="spellStart"/>
      <w:r>
        <w:t>m</w:t>
      </w:r>
      <w:r>
        <w:rPr>
          <w:rFonts w:ascii="Symbol" w:hAnsi="Symbol"/>
        </w:rPr>
        <w:t></w:t>
      </w:r>
      <w:r>
        <w:t>s</w:t>
      </w:r>
      <w:proofErr w:type="spellEnd"/>
      <w:r>
        <w:rPr>
          <w:position w:val="8"/>
          <w:sz w:val="16"/>
        </w:rPr>
        <w:t>–2</w:t>
      </w:r>
      <w:r>
        <w:rPr>
          <w:b/>
        </w:rPr>
        <w:t>.</w:t>
      </w:r>
    </w:p>
    <w:p w:rsidR="00EE7B5F" w:rsidRDefault="00EE7B5F">
      <w:pPr>
        <w:pStyle w:val="Corpsdetexte"/>
        <w:rPr>
          <w:b/>
          <w:sz w:val="28"/>
        </w:rPr>
      </w:pPr>
    </w:p>
    <w:p w:rsidR="00EE7B5F" w:rsidRDefault="00EE7B5F">
      <w:pPr>
        <w:pStyle w:val="Corpsdetexte"/>
        <w:spacing w:before="8"/>
        <w:rPr>
          <w:b/>
          <w:sz w:val="23"/>
        </w:rPr>
      </w:pPr>
    </w:p>
    <w:p w:rsidR="00EE7B5F" w:rsidRDefault="005E5C81">
      <w:pPr>
        <w:spacing w:line="276" w:lineRule="auto"/>
        <w:ind w:left="312" w:right="515"/>
        <w:jc w:val="both"/>
        <w:rPr>
          <w:b/>
          <w:i/>
          <w:sz w:val="24"/>
        </w:rPr>
      </w:pPr>
      <w:r>
        <w:rPr>
          <w:b/>
          <w:i/>
          <w:sz w:val="24"/>
        </w:rPr>
        <w:t>Il incombe au candidat de passer le temps nécessaire à l’élaboration de la réponse à la question suivante. L’appropriation, l’analyse et la ré</w:t>
      </w:r>
      <w:r>
        <w:rPr>
          <w:b/>
          <w:i/>
          <w:sz w:val="24"/>
        </w:rPr>
        <w:t>daction seront des compétences valorisées sur cette question.</w:t>
      </w:r>
    </w:p>
    <w:p w:rsidR="00EE7B5F" w:rsidRDefault="00EE7B5F">
      <w:pPr>
        <w:pStyle w:val="Corpsdetexte"/>
        <w:spacing w:before="9"/>
        <w:rPr>
          <w:b/>
          <w:i/>
          <w:sz w:val="23"/>
        </w:rPr>
      </w:pPr>
    </w:p>
    <w:p w:rsidR="00EE7B5F" w:rsidRDefault="005E5C81">
      <w:pPr>
        <w:pStyle w:val="Corpsdetexte"/>
        <w:spacing w:before="1"/>
        <w:ind w:left="312" w:right="510"/>
        <w:jc w:val="both"/>
      </w:pPr>
      <w:r>
        <w:t>Lors du démarrage de l’installation, avant l’envoi d’air comprimé à contre-courant dans le réacteur,</w:t>
      </w:r>
      <w:r>
        <w:rPr>
          <w:spacing w:val="-18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n’y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pas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bulles</w:t>
      </w:r>
      <w:r>
        <w:rPr>
          <w:spacing w:val="-19"/>
        </w:rPr>
        <w:t xml:space="preserve"> </w:t>
      </w:r>
      <w:r>
        <w:t>dans</w:t>
      </w:r>
      <w:r>
        <w:rPr>
          <w:spacing w:val="-18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réacteur,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mesure</w:t>
      </w:r>
      <w:r>
        <w:rPr>
          <w:spacing w:val="-18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niveau</w:t>
      </w:r>
      <w:r>
        <w:rPr>
          <w:spacing w:val="-17"/>
        </w:rPr>
        <w:t xml:space="preserve"> </w:t>
      </w:r>
      <w:r>
        <w:t>donne</w:t>
      </w:r>
      <w:r>
        <w:rPr>
          <w:spacing w:val="-14"/>
        </w:rPr>
        <w:t xml:space="preserve"> </w:t>
      </w:r>
      <w:r>
        <w:t>alors</w:t>
      </w:r>
      <w:r>
        <w:rPr>
          <w:spacing w:val="-18"/>
        </w:rPr>
        <w:t xml:space="preserve"> </w:t>
      </w:r>
      <w:r>
        <w:t>une</w:t>
      </w:r>
      <w:r>
        <w:rPr>
          <w:spacing w:val="-17"/>
        </w:rPr>
        <w:t xml:space="preserve"> </w:t>
      </w:r>
      <w:r>
        <w:t>mesure erronée.</w:t>
      </w:r>
    </w:p>
    <w:p w:rsidR="00EE7B5F" w:rsidRDefault="00EE7B5F">
      <w:pPr>
        <w:pStyle w:val="Corpsdetexte"/>
        <w:spacing w:before="11"/>
        <w:rPr>
          <w:sz w:val="23"/>
        </w:rPr>
      </w:pPr>
    </w:p>
    <w:p w:rsidR="00EE7B5F" w:rsidRDefault="005E5C81">
      <w:pPr>
        <w:pStyle w:val="Corpsdetexte"/>
        <w:ind w:left="312" w:right="510"/>
        <w:jc w:val="both"/>
      </w:pPr>
      <w:r>
        <w:rPr>
          <w:b/>
        </w:rPr>
        <w:t xml:space="preserve">Q9 – </w:t>
      </w:r>
      <w:r>
        <w:t>Les bulles dans le Réacteur 1 modifient la masse volumique du liquide. La mesure fournie est-elle surévaluée ou sous-évaluée ? Proposer une autre technologie de mesure du niveau dans le réacteur permettant de s’affranchir de ce problème.</w:t>
      </w:r>
    </w:p>
    <w:p w:rsidR="00EE7B5F" w:rsidRDefault="00EE7B5F">
      <w:pPr>
        <w:pStyle w:val="Corpsdetexte"/>
        <w:rPr>
          <w:sz w:val="26"/>
        </w:rPr>
      </w:pPr>
    </w:p>
    <w:p w:rsidR="00EE7B5F" w:rsidRDefault="00EE7B5F">
      <w:pPr>
        <w:pStyle w:val="Corpsdetexte"/>
        <w:spacing w:before="1"/>
        <w:rPr>
          <w:sz w:val="22"/>
        </w:rPr>
      </w:pPr>
    </w:p>
    <w:p w:rsidR="00EE7B5F" w:rsidRDefault="005E5C81">
      <w:pPr>
        <w:pStyle w:val="Titre1"/>
        <w:jc w:val="both"/>
      </w:pPr>
      <w:r>
        <w:rPr>
          <w:u w:val="thick"/>
        </w:rPr>
        <w:t>Boucle de</w:t>
      </w:r>
      <w:r>
        <w:rPr>
          <w:u w:val="thick"/>
        </w:rPr>
        <w:t xml:space="preserve"> régulation de température dans le réacteur (70°C)</w:t>
      </w:r>
    </w:p>
    <w:p w:rsidR="00EE7B5F" w:rsidRDefault="00EE7B5F">
      <w:pPr>
        <w:pStyle w:val="Corpsdetexte"/>
        <w:rPr>
          <w:b/>
          <w:sz w:val="16"/>
        </w:rPr>
      </w:pPr>
    </w:p>
    <w:p w:rsidR="00EE7B5F" w:rsidRDefault="005E5C81">
      <w:pPr>
        <w:pStyle w:val="Corpsdetexte"/>
        <w:spacing w:before="92"/>
        <w:ind w:left="312" w:right="510"/>
        <w:jc w:val="both"/>
      </w:pPr>
      <w:r>
        <w:t>La température en entrée de l’échangeur doit être affichée en continu sur l’IHM (Interface Homme Machine non étudiée). Un capteur de température est associé à un transmetteur qui</w:t>
      </w:r>
      <w:r>
        <w:rPr>
          <w:spacing w:val="-5"/>
        </w:rPr>
        <w:t xml:space="preserve"> </w:t>
      </w:r>
      <w:r>
        <w:t>fournit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4-20</w:t>
      </w:r>
      <w:r>
        <w:rPr>
          <w:spacing w:val="-3"/>
        </w:rPr>
        <w:t xml:space="preserve"> </w:t>
      </w:r>
      <w:r>
        <w:t>mA</w:t>
      </w:r>
      <w:r>
        <w:rPr>
          <w:spacing w:val="-17"/>
        </w:rPr>
        <w:t xml:space="preserve"> </w:t>
      </w:r>
      <w:r>
        <w:t>transmis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d’entrée</w:t>
      </w:r>
      <w:r>
        <w:rPr>
          <w:spacing w:val="-4"/>
        </w:rPr>
        <w:t xml:space="preserve"> </w:t>
      </w:r>
      <w:r>
        <w:t>analogique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l’automate.</w:t>
      </w:r>
      <w:r>
        <w:rPr>
          <w:spacing w:val="-3"/>
        </w:rPr>
        <w:t xml:space="preserve"> </w:t>
      </w:r>
      <w:r>
        <w:t>Dans le transmetteur, le signal est converti par un CAN. On demande un affichage de la température à 0,1°C</w:t>
      </w:r>
      <w:r>
        <w:rPr>
          <w:spacing w:val="-2"/>
        </w:rPr>
        <w:t xml:space="preserve"> </w:t>
      </w:r>
      <w:r>
        <w:t>près.</w:t>
      </w:r>
    </w:p>
    <w:p w:rsidR="00EE7B5F" w:rsidRDefault="005E5C81">
      <w:pPr>
        <w:pStyle w:val="Titre1"/>
        <w:jc w:val="both"/>
        <w:rPr>
          <w:b w:val="0"/>
        </w:rPr>
      </w:pPr>
      <w:r>
        <w:t>La documentation technique de trois convertisseurs est fournie en annexe 4</w:t>
      </w:r>
      <w:r>
        <w:rPr>
          <w:b w:val="0"/>
        </w:rPr>
        <w:t>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 w:right="517"/>
        <w:jc w:val="both"/>
      </w:pPr>
      <w:r>
        <w:rPr>
          <w:b/>
        </w:rPr>
        <w:t xml:space="preserve">Q10 - </w:t>
      </w:r>
      <w:r>
        <w:t>Justifier le choix du transmetteur respectant le cahier des charges (température et précision).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  <w:jc w:val="both"/>
      </w:pPr>
      <w:r>
        <w:rPr>
          <w:b/>
        </w:rPr>
        <w:t xml:space="preserve">Q11 - </w:t>
      </w:r>
      <w:r>
        <w:t>Calculer la valeur du courant de sortie du transmetteur pour une température de 70°C.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spacing w:before="1"/>
        <w:ind w:left="312" w:right="514"/>
        <w:jc w:val="both"/>
      </w:pPr>
      <w:r>
        <w:rPr>
          <w:b/>
        </w:rPr>
        <w:t xml:space="preserve">Q12 - </w:t>
      </w:r>
      <w:r>
        <w:t>Calculer en binaire naturel la valeur du mot en sortie du CA</w:t>
      </w:r>
      <w:r>
        <w:t>N pour une température de 70°C.</w:t>
      </w:r>
    </w:p>
    <w:p w:rsidR="00EE7B5F" w:rsidRDefault="00EE7B5F">
      <w:pPr>
        <w:pStyle w:val="Corpsdetexte"/>
        <w:spacing w:before="11"/>
        <w:rPr>
          <w:sz w:val="23"/>
        </w:rPr>
      </w:pPr>
    </w:p>
    <w:p w:rsidR="00EE7B5F" w:rsidRDefault="005E5C81">
      <w:pPr>
        <w:pStyle w:val="Corpsdetexte"/>
        <w:ind w:left="312" w:right="510"/>
        <w:jc w:val="both"/>
      </w:pPr>
      <w:r>
        <w:t>Le débit de l’eau de refroidissement de l’échangeur 2 est sujet à variations. On se propose donc de mettre en place une régulation cascade débit–température sur le contrôle de la température du réacteur 1.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  <w:jc w:val="both"/>
      </w:pPr>
      <w:r>
        <w:rPr>
          <w:b/>
        </w:rPr>
        <w:t xml:space="preserve">Q13 - </w:t>
      </w:r>
      <w:r>
        <w:t>Identifier</w:t>
      </w:r>
      <w:r>
        <w:t xml:space="preserve"> la grandeur </w:t>
      </w:r>
      <w:proofErr w:type="gramStart"/>
      <w:r>
        <w:t>maître</w:t>
      </w:r>
      <w:proofErr w:type="gramEnd"/>
      <w:r>
        <w:t xml:space="preserve"> et la grandeur esclave. Justifier ce choix de régulation.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  <w:jc w:val="both"/>
      </w:pPr>
      <w:r>
        <w:rPr>
          <w:b/>
        </w:rPr>
        <w:t xml:space="preserve">Q14 - </w:t>
      </w:r>
      <w:r>
        <w:t>Réaliser le schéma TI correspondant sur l’annexe 1.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  <w:jc w:val="both"/>
      </w:pPr>
      <w:r>
        <w:rPr>
          <w:b/>
        </w:rPr>
        <w:t xml:space="preserve">Q15 - </w:t>
      </w:r>
      <w:r>
        <w:t>Déterminer le sens d’action des deux régulateurs installés.</w:t>
      </w:r>
    </w:p>
    <w:p w:rsidR="00EE7B5F" w:rsidRDefault="00EE7B5F">
      <w:pPr>
        <w:pStyle w:val="Corpsdetexte"/>
        <w:spacing w:before="1"/>
      </w:pPr>
    </w:p>
    <w:p w:rsidR="00EE7B5F" w:rsidRDefault="005E5C81">
      <w:pPr>
        <w:pStyle w:val="Corpsdetexte"/>
        <w:ind w:left="312" w:right="512"/>
        <w:jc w:val="both"/>
      </w:pPr>
      <w:r>
        <w:rPr>
          <w:b/>
        </w:rPr>
        <w:t xml:space="preserve">Q16 - </w:t>
      </w:r>
      <w:r>
        <w:t>La configuration logicielle de cette stratégi</w:t>
      </w:r>
      <w:r>
        <w:t>e est réalisée par langage FBD (Programmation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chaînage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blocs).</w:t>
      </w:r>
      <w:r>
        <w:rPr>
          <w:spacing w:val="-6"/>
        </w:rPr>
        <w:t xml:space="preserve"> </w:t>
      </w:r>
      <w:r>
        <w:t>Compléter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schéma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câblage</w:t>
      </w:r>
      <w:r>
        <w:rPr>
          <w:spacing w:val="-1"/>
        </w:rPr>
        <w:t xml:space="preserve"> </w:t>
      </w:r>
      <w:r>
        <w:t>graphique</w:t>
      </w:r>
      <w:r>
        <w:rPr>
          <w:spacing w:val="-6"/>
        </w:rPr>
        <w:t xml:space="preserve"> </w:t>
      </w:r>
      <w:r>
        <w:t>fourni sur l’annexe</w:t>
      </w:r>
      <w:r>
        <w:rPr>
          <w:spacing w:val="1"/>
        </w:rPr>
        <w:t xml:space="preserve"> </w:t>
      </w:r>
      <w:r>
        <w:t>3.</w:t>
      </w:r>
    </w:p>
    <w:p w:rsidR="00EE7B5F" w:rsidRDefault="00EE7B5F">
      <w:pPr>
        <w:jc w:val="both"/>
        <w:sectPr w:rsidR="00EE7B5F">
          <w:pgSz w:w="11910" w:h="16840"/>
          <w:pgMar w:top="700" w:right="620" w:bottom="1300" w:left="820" w:header="0" w:footer="1118" w:gutter="0"/>
          <w:cols w:space="720"/>
        </w:sectPr>
      </w:pPr>
    </w:p>
    <w:p w:rsidR="00EE7B5F" w:rsidRDefault="005E5C81">
      <w:pPr>
        <w:pStyle w:val="Corpsdetexte"/>
        <w:spacing w:before="66"/>
        <w:ind w:left="312"/>
      </w:pPr>
      <w:r>
        <w:t>Étude des performances en boucle fermée.</w:t>
      </w:r>
    </w:p>
    <w:p w:rsidR="00EE7B5F" w:rsidRDefault="00EE7B5F">
      <w:pPr>
        <w:pStyle w:val="Corpsdetexte"/>
        <w:spacing w:before="9"/>
        <w:rPr>
          <w:sz w:val="27"/>
        </w:rPr>
      </w:pPr>
    </w:p>
    <w:p w:rsidR="00EE7B5F" w:rsidRDefault="005E5C81">
      <w:pPr>
        <w:pStyle w:val="Corpsdetexte"/>
        <w:ind w:left="312" w:right="319"/>
      </w:pPr>
      <w:r>
        <w:pict>
          <v:shape id="_x0000_s1048" type="#_x0000_t202" style="position:absolute;left:0;text-align:left;margin-left:353.45pt;margin-top:70.55pt;width:60.5pt;height:36.3pt;z-index:15738368;mso-position-horizontal-relative:page" filled="f">
            <v:textbox style="mso-next-textbox:#_x0000_s1048" inset="0,0,0,0">
              <w:txbxContent>
                <w:p w:rsidR="00EE7B5F" w:rsidRDefault="005E5C81">
                  <w:pPr>
                    <w:pStyle w:val="Corpsdetexte"/>
                    <w:spacing w:before="69"/>
                    <w:ind w:left="364"/>
                  </w:pPr>
                  <w:r>
                    <w:t>H(p)</w:t>
                  </w:r>
                </w:p>
              </w:txbxContent>
            </v:textbox>
            <w10:wrap anchorx="page"/>
          </v:shape>
        </w:pict>
      </w:r>
      <w:r>
        <w:t>Pour simplifier les calculs, on considère que le schéma fonctionnel de la boucle cascade (une fois la boucle esclave mise en service en automatique) peut se mettre sous la forme :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rPr>
          <w:sz w:val="20"/>
        </w:rPr>
        <w:sectPr w:rsidR="00EE7B5F">
          <w:pgSz w:w="11910" w:h="16840"/>
          <w:pgMar w:top="1260" w:right="620" w:bottom="1300" w:left="820" w:header="0" w:footer="1118" w:gutter="0"/>
          <w:cols w:space="720"/>
        </w:sectPr>
      </w:pPr>
    </w:p>
    <w:p w:rsidR="00EE7B5F" w:rsidRDefault="00EE7B5F">
      <w:pPr>
        <w:pStyle w:val="Corpsdetexte"/>
        <w:spacing w:before="1"/>
        <w:rPr>
          <w:sz w:val="34"/>
        </w:rPr>
      </w:pPr>
    </w:p>
    <w:p w:rsidR="00EE7B5F" w:rsidRDefault="005E5C81">
      <w:pPr>
        <w:pStyle w:val="Corpsdetexte"/>
        <w:spacing w:line="254" w:lineRule="exact"/>
        <w:ind w:left="384" w:right="292"/>
        <w:jc w:val="center"/>
      </w:pPr>
      <w:r>
        <w:t>W(p)</w:t>
      </w:r>
    </w:p>
    <w:p w:rsidR="00EE7B5F" w:rsidRDefault="005E5C81">
      <w:pPr>
        <w:pStyle w:val="Corpsdetexte"/>
        <w:spacing w:line="218" w:lineRule="exact"/>
        <w:ind w:left="1743"/>
        <w:jc w:val="center"/>
      </w:pPr>
      <w:r>
        <w:t>+</w:t>
      </w:r>
    </w:p>
    <w:p w:rsidR="00EE7B5F" w:rsidRDefault="005E5C81">
      <w:pPr>
        <w:pStyle w:val="Corpsdetexte"/>
        <w:spacing w:line="240" w:lineRule="exact"/>
        <w:ind w:left="2077"/>
        <w:jc w:val="center"/>
      </w:pPr>
      <w:r>
        <w:rPr>
          <w:w w:val="99"/>
        </w:rPr>
        <w:t>-</w:t>
      </w:r>
    </w:p>
    <w:p w:rsidR="00EE7B5F" w:rsidRDefault="005E5C81">
      <w:pPr>
        <w:pStyle w:val="Corpsdetexte"/>
        <w:spacing w:before="89"/>
        <w:ind w:left="1332" w:right="292"/>
        <w:jc w:val="center"/>
      </w:pPr>
      <w:r>
        <w:t>M(p)</w:t>
      </w:r>
    </w:p>
    <w:p w:rsidR="00EE7B5F" w:rsidRDefault="005E5C81">
      <w:pPr>
        <w:pStyle w:val="Corpsdetexte"/>
        <w:spacing w:before="6"/>
        <w:rPr>
          <w:sz w:val="23"/>
        </w:rPr>
      </w:pPr>
      <w:r>
        <w:br w:type="column"/>
      </w:r>
    </w:p>
    <w:p w:rsidR="00EE7B5F" w:rsidRDefault="005E5C81">
      <w:pPr>
        <w:pStyle w:val="Corpsdetexte"/>
        <w:ind w:left="525"/>
      </w:pPr>
      <w:r>
        <w:rPr>
          <w:rFonts w:ascii="Symbol" w:hAnsi="Symbol"/>
        </w:rPr>
        <w:t></w:t>
      </w:r>
      <w:r>
        <w:t>(p)</w:t>
      </w:r>
    </w:p>
    <w:p w:rsidR="00EE7B5F" w:rsidRDefault="005E5C81">
      <w:pPr>
        <w:pStyle w:val="Corpsdetexte"/>
        <w:spacing w:before="9"/>
        <w:rPr>
          <w:sz w:val="35"/>
        </w:rPr>
      </w:pPr>
      <w:r>
        <w:br w:type="column"/>
      </w:r>
    </w:p>
    <w:p w:rsidR="00EE7B5F" w:rsidRDefault="005E5C81">
      <w:pPr>
        <w:pStyle w:val="Corpsdetexte"/>
        <w:ind w:left="862"/>
      </w:pPr>
      <w:r>
        <w:pict>
          <v:shape id="_x0000_s1047" type="#_x0000_t202" style="position:absolute;left:0;text-align:left;margin-left:211.85pt;margin-top:-.6pt;width:60.5pt;height:36.3pt;z-index:15738880;mso-position-horizontal-relative:page" filled="f">
            <v:textbox style="mso-next-textbox:#_x0000_s1047" inset="0,0,0,0">
              <w:txbxContent>
                <w:p w:rsidR="00EE7B5F" w:rsidRDefault="005E5C81">
                  <w:pPr>
                    <w:pStyle w:val="Corpsdetexte"/>
                    <w:spacing w:before="69"/>
                    <w:ind w:left="366"/>
                  </w:pPr>
                  <w:r>
                    <w:t>C(p)</w:t>
                  </w:r>
                </w:p>
              </w:txbxContent>
            </v:textbox>
            <w10:wrap anchorx="page"/>
          </v:shape>
        </w:pict>
      </w:r>
      <w:r>
        <w:t>Y(p)</w:t>
      </w:r>
    </w:p>
    <w:p w:rsidR="00EE7B5F" w:rsidRDefault="00EE7B5F">
      <w:pPr>
        <w:pStyle w:val="Corpsdetexte"/>
        <w:spacing w:before="2"/>
        <w:rPr>
          <w:sz w:val="3"/>
        </w:rPr>
      </w:pPr>
    </w:p>
    <w:p w:rsidR="00EE7B5F" w:rsidRDefault="005E5C81">
      <w:pPr>
        <w:pStyle w:val="Corpsdetexte"/>
        <w:spacing w:line="120" w:lineRule="exact"/>
        <w:ind w:left="186" w:right="-519"/>
        <w:rPr>
          <w:sz w:val="12"/>
        </w:rPr>
      </w:pPr>
      <w:r>
        <w:rPr>
          <w:position w:val="-1"/>
          <w:sz w:val="12"/>
        </w:rPr>
      </w:r>
      <w:r>
        <w:rPr>
          <w:position w:val="-1"/>
          <w:sz w:val="12"/>
        </w:rPr>
        <w:pict>
          <v:group id="_x0000_s1045" style="width:81.65pt;height:6pt;mso-position-horizontal-relative:char;mso-position-vertical-relative:line" coordsize="1633,120">
            <v:shape id="_x0000_s1046" style="position:absolute;width:1633;height:120" coordsize="1633,120" o:spt="100" adj="0,,0" path="m1513,68r,52l1618,68r-85,l1513,68xm1513,53r,15l1533,68r,-15l1513,53xm1513,r,53l1533,53r,15l1618,68r15,-8l1513,xm,49l,64r1513,4l1513,53,,4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E7B5F" w:rsidRDefault="005E5C81">
      <w:pPr>
        <w:pStyle w:val="Corpsdetexte"/>
        <w:rPr>
          <w:sz w:val="32"/>
        </w:rPr>
      </w:pPr>
      <w:r>
        <w:br w:type="column"/>
      </w:r>
    </w:p>
    <w:p w:rsidR="00EE7B5F" w:rsidRDefault="005E5C81">
      <w:pPr>
        <w:pStyle w:val="Corpsdetexte"/>
        <w:ind w:left="862"/>
      </w:pPr>
      <w:r>
        <w:t>X(p)</w:t>
      </w:r>
    </w:p>
    <w:p w:rsidR="00EE7B5F" w:rsidRDefault="00EE7B5F">
      <w:pPr>
        <w:sectPr w:rsidR="00EE7B5F">
          <w:type w:val="continuous"/>
          <w:pgSz w:w="11910" w:h="16840"/>
          <w:pgMar w:top="1580" w:right="620" w:bottom="280" w:left="820" w:header="720" w:footer="720" w:gutter="0"/>
          <w:cols w:num="4" w:space="720" w:equalWidth="0">
            <w:col w:w="2158" w:space="40"/>
            <w:col w:w="963" w:space="1280"/>
            <w:col w:w="1355" w:space="1506"/>
            <w:col w:w="3168"/>
          </w:cols>
        </w:sect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326206">
      <w:pPr>
        <w:pStyle w:val="Corpsdetexte"/>
        <w:spacing w:before="9"/>
        <w:rPr>
          <w:sz w:val="17"/>
        </w:rPr>
      </w:pPr>
      <w:r>
        <w:rPr>
          <w:noProof/>
          <w:lang w:eastAsia="fr-FR"/>
        </w:rPr>
        <w:drawing>
          <wp:anchor distT="0" distB="0" distL="114300" distR="114300" simplePos="0" relativeHeight="487235584" behindDoc="0" locked="0" layoutInCell="1" allowOverlap="1" wp14:anchorId="01ECE8C0" wp14:editId="78A9C079">
            <wp:simplePos x="0" y="0"/>
            <wp:positionH relativeFrom="column">
              <wp:posOffset>5324475</wp:posOffset>
            </wp:positionH>
            <wp:positionV relativeFrom="paragraph">
              <wp:posOffset>121285</wp:posOffset>
            </wp:positionV>
            <wp:extent cx="834390" cy="3670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5F" w:rsidRPr="00FF7115" w:rsidRDefault="005E5C81" w:rsidP="00FF7115">
      <w:pPr>
        <w:pStyle w:val="Corpsdetexte"/>
        <w:spacing w:before="48" w:line="336" w:lineRule="exact"/>
        <w:ind w:left="312"/>
        <w:rPr>
          <w:rFonts w:ascii="Arial Black" w:eastAsia="Arial Black"/>
        </w:rPr>
      </w:pPr>
      <w:r>
        <w:pict>
          <v:group id="_x0000_s1039" style="position:absolute;left:0;text-align:left;margin-left:85.1pt;margin-top:-98.6pt;width:407.3pt;height:78.85pt;z-index:-16084480;mso-position-horizontal-relative:page" coordorigin="1702,-1972" coordsize="8146,1577">
            <v:shape id="_x0000_s1043" style="position:absolute;left:1701;top:-1662;width:2536;height:1259" coordorigin="1702,-1662" coordsize="2536,1259" o:spt="100" adj="0,,0" path="m2608,-1602r-120,-60l2488,-1609r-786,-1l1702,-1595r786,1l2488,-1542r105,-52l2593,-1594r15,-8xm3030,-1100r-10,-21l2971,-1221r-61,120l2963,-1101r-3,697l2975,-404r3,-696l3030,-1100xm4237,-1582r-120,-60l4117,-1589r-786,-1l3331,-1575r786,1l4117,-1522r105,-52l4222,-1574r15,-8xe" fillcolor="black" stroked="f">
              <v:stroke joinstyle="round"/>
              <v:formulas/>
              <v:path arrowok="t" o:connecttype="segments"/>
            </v:shape>
            <v:shape id="_x0000_s1042" style="position:absolute;left:2608;top:-1965;width:6523;height:1562" coordorigin="2608,-1965" coordsize="6523,1562" o:spt="100" adj="0,,0" path="m2977,-405r6154,1m2608,-1602r7,-73l2636,-1743r34,-62l2714,-1858r53,-45l2829,-1936r68,-21l2969,-1965r73,8l3110,-1936r61,33l3225,-1858r44,53l3302,-1743r21,68l3331,-1602r-8,73l3302,-1461r-33,62l3225,-1346r-54,45l3110,-1268r-68,21l2969,-1240r-72,-7l2829,-1268r-62,-33l2714,-1346r-44,-53l2636,-1461r-21,-68l2608,-1602xm2744,-1887r460,540m3164,-1907r-440,580e" filled="f">
              <v:stroke joinstyle="round"/>
              <v:formulas/>
              <v:path arrowok="t" o:connecttype="segments"/>
            </v:shape>
            <v:shape id="_x0000_s1041" style="position:absolute;left:8278;top:-1642;width:1569;height:120" coordorigin="8279,-1642" coordsize="1569,120" o:spt="100" adj="0,,0" path="m9728,-1574r,52l9833,-1574r-105,xm9728,-1589r,15l9748,-1574r,-15l9728,-1589xm9728,-1642r,53l9748,-1589r,15l9833,-1574r15,-8l9728,-1642xm8279,-1590r,15l9728,-1574r,-15l8279,-1590xe" fillcolor="black" stroked="f">
              <v:stroke joinstyle="round"/>
              <v:formulas/>
              <v:path arrowok="t" o:connecttype="segments"/>
            </v:shape>
            <v:line id="_x0000_s1040" style="position:absolute" from="9110,-405" to="9131,-1580"/>
            <w10:wrap anchorx="page"/>
          </v:group>
        </w:pict>
      </w:r>
      <w:r>
        <w:rPr>
          <w:b/>
        </w:rPr>
        <w:t xml:space="preserve">Q17 - </w:t>
      </w:r>
      <w:r>
        <w:t xml:space="preserve">Déterminer l’expression de la fonction de transfert en boucle </w:t>
      </w:r>
      <w:r w:rsidR="00FF7115">
        <w:t>fermée</w:t>
      </w:r>
      <w:r w:rsidRPr="00FF7115">
        <w:rPr>
          <w:rFonts w:eastAsia="Arial Black"/>
          <w:position w:val="15"/>
          <w:sz w:val="17"/>
        </w:rPr>
        <w:t xml:space="preserve"> </w:t>
      </w:r>
      <w:r w:rsidRPr="00FF7115">
        <w:t>e</w:t>
      </w:r>
      <w:r w:rsidRPr="00FF7115">
        <w:t>n</w:t>
      </w:r>
    </w:p>
    <w:p w:rsidR="00EE7B5F" w:rsidRDefault="005E5C81">
      <w:pPr>
        <w:pStyle w:val="Corpsdetexte"/>
        <w:spacing w:line="292" w:lineRule="exact"/>
        <w:ind w:left="312"/>
      </w:pPr>
      <w:r>
        <w:t xml:space="preserve">fonction de </w:t>
      </w:r>
      <w:r w:rsidRPr="00FF7115">
        <w:rPr>
          <w:rFonts w:ascii="Cambria Math" w:eastAsia="Arial Black" w:hAnsi="Cambria Math" w:cs="Cambria Math"/>
        </w:rPr>
        <w:t/>
      </w:r>
      <w:proofErr w:type="gramStart"/>
      <w:r w:rsidRPr="00FF7115">
        <w:rPr>
          <w:rFonts w:ascii="Cambria Math" w:eastAsia="Arial Black" w:hAnsi="Cambria Math" w:cs="Cambria Math"/>
        </w:rPr>
        <w:t/>
      </w:r>
      <w:r w:rsidRPr="00FF7115">
        <w:rPr>
          <w:rFonts w:eastAsia="Arial Black"/>
          <w:position w:val="1"/>
        </w:rPr>
        <w:t>(</w:t>
      </w:r>
      <w:proofErr w:type="gramEnd"/>
      <w:r w:rsidRPr="00FF7115">
        <w:rPr>
          <w:rFonts w:ascii="Cambria Math" w:eastAsia="Arial Black" w:hAnsi="Cambria Math" w:cs="Cambria Math"/>
        </w:rPr>
        <w:t>𝑝</w:t>
      </w:r>
      <w:r w:rsidRPr="00FF7115">
        <w:rPr>
          <w:rFonts w:eastAsia="Arial Black"/>
          <w:position w:val="1"/>
        </w:rPr>
        <w:t xml:space="preserve">) </w:t>
      </w:r>
      <w:r w:rsidRPr="00FF7115">
        <w:t xml:space="preserve">et de </w:t>
      </w:r>
      <w:r w:rsidRPr="00FF7115">
        <w:rPr>
          <w:rFonts w:ascii="Cambria Math" w:eastAsia="Arial Black" w:hAnsi="Cambria Math" w:cs="Cambria Math"/>
        </w:rPr>
        <w:t>𝐻</w:t>
      </w:r>
      <w:r w:rsidRPr="00FF7115">
        <w:rPr>
          <w:rFonts w:eastAsia="Arial Black"/>
          <w:position w:val="1"/>
        </w:rPr>
        <w:t>(</w:t>
      </w:r>
      <w:r w:rsidRPr="00FF7115">
        <w:rPr>
          <w:rFonts w:ascii="Cambria Math" w:eastAsia="Arial Black" w:hAnsi="Cambria Math" w:cs="Cambria Math"/>
        </w:rPr>
        <w:t>𝑝</w:t>
      </w:r>
      <w:r w:rsidRPr="00FF7115">
        <w:rPr>
          <w:rFonts w:eastAsia="Arial Black"/>
          <w:position w:val="1"/>
        </w:rPr>
        <w:t>)</w:t>
      </w:r>
      <w:r w:rsidRPr="00FF7115">
        <w:t>.</w:t>
      </w:r>
    </w:p>
    <w:p w:rsidR="00EF2297" w:rsidRPr="00FF7115" w:rsidRDefault="00EF2297">
      <w:pPr>
        <w:pStyle w:val="Corpsdetexte"/>
        <w:spacing w:line="292" w:lineRule="exact"/>
        <w:ind w:left="312"/>
      </w:pPr>
    </w:p>
    <w:p w:rsidR="00EF2297" w:rsidRPr="00EF2297" w:rsidRDefault="005E5C81" w:rsidP="00326206">
      <w:pPr>
        <w:ind w:left="284"/>
      </w:pPr>
      <w:r>
        <w:t xml:space="preserve">Sachant que </w:t>
      </w:r>
      <w:r w:rsidRPr="00FF7115">
        <w:rPr>
          <w:rFonts w:ascii="Cambria Math" w:eastAsia="Arial Black" w:hAnsi="Cambria Math" w:cs="Cambria Math"/>
        </w:rPr>
        <w:t/>
      </w:r>
      <w:proofErr w:type="gramStart"/>
      <w:r w:rsidRPr="00FF7115">
        <w:rPr>
          <w:rFonts w:ascii="Cambria Math" w:eastAsia="Arial Black" w:hAnsi="Cambria Math" w:cs="Cambria Math"/>
        </w:rPr>
        <w:t/>
      </w:r>
      <w:r w:rsidRPr="00FF7115">
        <w:rPr>
          <w:rFonts w:eastAsia="Arial Black"/>
          <w:position w:val="1"/>
        </w:rPr>
        <w:t>(</w:t>
      </w:r>
      <w:proofErr w:type="gramEnd"/>
      <w:r w:rsidRPr="00FF7115">
        <w:rPr>
          <w:rFonts w:ascii="Cambria Math" w:eastAsia="Arial Black" w:hAnsi="Cambria Math" w:cs="Cambria Math"/>
        </w:rPr>
        <w:t>𝑝</w:t>
      </w:r>
      <w:r w:rsidRPr="00FF7115">
        <w:rPr>
          <w:rFonts w:eastAsia="Arial Black"/>
          <w:position w:val="1"/>
        </w:rPr>
        <w:t>)</w:t>
      </w:r>
      <w:r>
        <w:rPr>
          <w:rFonts w:ascii="Arial Black" w:eastAsia="Arial Black" w:hAnsi="Arial Black"/>
          <w:position w:val="1"/>
        </w:rPr>
        <w:t xml:space="preserve"> </w:t>
      </w:r>
      <w:r>
        <w:t>peut se mettre sous la forme d’un système du 1</w:t>
      </w:r>
      <w:r>
        <w:rPr>
          <w:position w:val="8"/>
          <w:sz w:val="16"/>
        </w:rPr>
        <w:t xml:space="preserve">er </w:t>
      </w:r>
      <w:r>
        <w:t>ordre :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(p)</m:t>
              </m:r>
            </m:num>
            <m:den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(p)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1+τp</m:t>
              </m:r>
            </m:den>
          </m:f>
        </m:oMath>
      </m:oMathPara>
    </w:p>
    <w:p w:rsidR="00EE7B5F" w:rsidRPr="00FF7115" w:rsidRDefault="005E5C81">
      <w:pPr>
        <w:pStyle w:val="Corpsdetexte"/>
        <w:spacing w:line="290" w:lineRule="exact"/>
        <w:ind w:left="312"/>
      </w:pPr>
      <w:r w:rsidRPr="00FF7115">
        <w:t xml:space="preserve">et que </w:t>
      </w:r>
      <w:r w:rsidRPr="00FF7115">
        <w:rPr>
          <w:rFonts w:ascii="Cambria Math" w:eastAsia="Arial Black" w:hAnsi="Cambria Math" w:cs="Cambria Math"/>
        </w:rPr>
        <w:t/>
      </w:r>
      <w:proofErr w:type="gramStart"/>
      <w:r w:rsidRPr="00FF7115">
        <w:rPr>
          <w:rFonts w:ascii="Cambria Math" w:eastAsia="Arial Black" w:hAnsi="Cambria Math" w:cs="Cambria Math"/>
        </w:rPr>
        <w:t/>
      </w:r>
      <w:r w:rsidRPr="00FF7115">
        <w:rPr>
          <w:rFonts w:eastAsia="Arial Black"/>
          <w:position w:val="1"/>
        </w:rPr>
        <w:t>(</w:t>
      </w:r>
      <w:proofErr w:type="gramEnd"/>
      <w:r w:rsidRPr="00FF7115">
        <w:rPr>
          <w:rFonts w:ascii="Cambria Math" w:eastAsia="Arial Black" w:hAnsi="Cambria Math" w:cs="Cambria Math"/>
        </w:rPr>
        <w:t>𝑝</w:t>
      </w:r>
      <w:r w:rsidRPr="00FF7115">
        <w:rPr>
          <w:rFonts w:eastAsia="Arial Black"/>
          <w:position w:val="1"/>
        </w:rPr>
        <w:t xml:space="preserve">) </w:t>
      </w:r>
      <w:r w:rsidRPr="00FF7115">
        <w:t>est un régulateur PI mixte de fonction de transfert</w:t>
      </w:r>
    </w:p>
    <w:p w:rsidR="00EE7B5F" w:rsidRPr="00FF7115" w:rsidRDefault="00EF2297" w:rsidP="00EF2297">
      <w:pPr>
        <w:jc w:val="center"/>
      </w:pPr>
      <m:oMathPara>
        <m:oMath>
          <m:r>
            <w:rPr>
              <w:rFonts w:ascii="Cambria Math" w:hAnsi="Cambria Math"/>
            </w:rPr>
            <m:t>C(p)=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x(p)</m:t>
              </m:r>
            </m:num>
            <m:den>
              <m:r>
                <w:rPr>
                  <w:rFonts w:ascii="Cambria Math" w:hAnsi="Cambria Math"/>
                </w:rPr>
                <m:t>y(p)</m:t>
              </m:r>
            </m:den>
          </m:f>
          <m:r>
            <w:rPr>
              <w:rFonts w:ascii="Cambria Math" w:hAnsi="Cambria Math"/>
            </w:rPr>
            <m:t>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+p</m:t>
                  </m:r>
                </m:den>
              </m:f>
            </m:e>
          </m:d>
        </m:oMath>
      </m:oMathPara>
    </w:p>
    <w:p w:rsidR="00326206" w:rsidRDefault="005E5C81" w:rsidP="00326206">
      <w:pPr>
        <w:spacing w:before="209" w:line="307" w:lineRule="exact"/>
        <w:ind w:left="312"/>
        <w:rPr>
          <w:rFonts w:ascii="Arial Black" w:eastAsia="Arial Black" w:hAnsi="Arial Black"/>
        </w:rPr>
      </w:pPr>
      <w:r w:rsidRPr="00FF7115">
        <w:rPr>
          <w:b/>
          <w:sz w:val="24"/>
        </w:rPr>
        <w:t>Q18</w:t>
      </w:r>
      <w:r w:rsidRPr="00FF7115">
        <w:rPr>
          <w:b/>
          <w:spacing w:val="-16"/>
          <w:sz w:val="24"/>
        </w:rPr>
        <w:t xml:space="preserve"> </w:t>
      </w:r>
      <w:r w:rsidRPr="00FF7115">
        <w:rPr>
          <w:b/>
          <w:sz w:val="24"/>
        </w:rPr>
        <w:t>-</w:t>
      </w:r>
      <w:r w:rsidRPr="00FF7115">
        <w:rPr>
          <w:b/>
          <w:spacing w:val="-17"/>
          <w:sz w:val="24"/>
        </w:rPr>
        <w:t xml:space="preserve"> </w:t>
      </w:r>
      <w:r w:rsidRPr="00FF7115">
        <w:rPr>
          <w:sz w:val="24"/>
        </w:rPr>
        <w:t>On</w:t>
      </w:r>
      <w:r w:rsidRPr="00FF7115">
        <w:rPr>
          <w:spacing w:val="-16"/>
          <w:sz w:val="24"/>
        </w:rPr>
        <w:t xml:space="preserve"> </w:t>
      </w:r>
      <w:r w:rsidRPr="00FF7115">
        <w:rPr>
          <w:sz w:val="24"/>
        </w:rPr>
        <w:t>pose</w:t>
      </w:r>
      <w:r w:rsidRPr="00FF7115">
        <w:rPr>
          <w:spacing w:val="-17"/>
          <w:sz w:val="24"/>
        </w:rPr>
        <w:t xml:space="preserve"> </w:t>
      </w:r>
      <w:r w:rsidRPr="00FF7115">
        <w:rPr>
          <w:rFonts w:ascii="Cambria Math" w:eastAsia="Arial Black" w:hAnsi="Cambria Math" w:cs="Cambria Math"/>
          <w:spacing w:val="-13"/>
          <w:w w:val="95"/>
          <w:sz w:val="24"/>
        </w:rPr>
        <w:t>𝑇</w:t>
      </w:r>
      <w:r w:rsidRPr="00FF7115">
        <w:rPr>
          <w:rFonts w:ascii="Cambria Math" w:eastAsia="Arial Black" w:hAnsi="Cambria Math" w:cs="Cambria Math"/>
          <w:spacing w:val="-13"/>
          <w:w w:val="95"/>
          <w:sz w:val="24"/>
          <w:vertAlign w:val="subscript"/>
        </w:rPr>
        <w:t>𝑖</w:t>
      </w:r>
      <w:r w:rsidRPr="00FF7115">
        <w:rPr>
          <w:rFonts w:eastAsia="Arial Black"/>
          <w:spacing w:val="-15"/>
          <w:w w:val="95"/>
          <w:sz w:val="24"/>
        </w:rPr>
        <w:t xml:space="preserve"> </w:t>
      </w:r>
      <w:r w:rsidRPr="00FF7115">
        <w:rPr>
          <w:rFonts w:eastAsia="Arial Black"/>
          <w:sz w:val="24"/>
        </w:rPr>
        <w:t>=</w:t>
      </w:r>
      <w:r w:rsidRPr="00FF7115">
        <w:rPr>
          <w:rFonts w:eastAsia="Arial Black"/>
          <w:spacing w:val="-31"/>
          <w:sz w:val="24"/>
        </w:rPr>
        <w:t xml:space="preserve"> </w:t>
      </w:r>
      <w:r w:rsidRPr="00FF7115">
        <w:rPr>
          <w:rFonts w:ascii="Cambria Math" w:eastAsia="Arial Black" w:hAnsi="Cambria Math" w:cs="Cambria Math"/>
          <w:w w:val="95"/>
          <w:sz w:val="24"/>
        </w:rPr>
        <w:t/>
      </w:r>
      <w:proofErr w:type="gramStart"/>
      <w:r w:rsidRPr="00FF7115">
        <w:rPr>
          <w:rFonts w:ascii="Cambria Math" w:eastAsia="Arial Black" w:hAnsi="Cambria Math" w:cs="Cambria Math"/>
          <w:w w:val="95"/>
          <w:sz w:val="24"/>
        </w:rPr>
        <w:t/>
      </w:r>
      <w:r w:rsidRPr="00FF7115">
        <w:rPr>
          <w:rFonts w:eastAsia="Arial Black"/>
          <w:spacing w:val="-22"/>
          <w:w w:val="95"/>
          <w:sz w:val="24"/>
        </w:rPr>
        <w:t xml:space="preserve"> </w:t>
      </w:r>
      <w:r w:rsidRPr="00FF7115">
        <w:rPr>
          <w:sz w:val="24"/>
        </w:rPr>
        <w:t>.</w:t>
      </w:r>
      <w:proofErr w:type="gramEnd"/>
      <w:r w:rsidR="00326206">
        <w:rPr>
          <w:rFonts w:ascii="Arial Black" w:eastAsia="Arial Black" w:hAnsi="Arial Black"/>
        </w:rPr>
        <w:t xml:space="preserve"> </w:t>
      </w:r>
    </w:p>
    <w:p w:rsidR="00EE7B5F" w:rsidRDefault="005E5C81" w:rsidP="00326206">
      <w:pPr>
        <w:spacing w:before="209" w:line="307" w:lineRule="exact"/>
        <w:ind w:left="312"/>
        <w:rPr>
          <w:rFonts w:ascii="Arial Black" w:eastAsia="Arial Black"/>
          <w:sz w:val="17"/>
        </w:rPr>
      </w:pPr>
      <w:r>
        <w:t xml:space="preserve">Montrer que la fonction de transfert en boucle fermée est de la forme </w:t>
      </w:r>
    </w:p>
    <w:p w:rsidR="00326206" w:rsidRPr="00326206" w:rsidRDefault="00326206" w:rsidP="00326206">
      <w:pPr>
        <w:pStyle w:val="Corpsdetexte"/>
        <w:rPr>
          <w:strike/>
          <w:sz w:val="16"/>
          <w:szCs w:val="16"/>
        </w:rPr>
      </w:pPr>
    </w:p>
    <w:p w:rsidR="00EE7B5F" w:rsidRDefault="005E5C81" w:rsidP="00326206">
      <w:pPr>
        <w:ind w:left="284"/>
      </w:pPr>
      <w:r>
        <w:t xml:space="preserve">Quelle est la valeur de son gain statique </w:t>
      </w:r>
      <w:r>
        <w:rPr>
          <w:rFonts w:ascii="Cambria Math" w:eastAsia="Arial Black" w:hAnsi="Cambria Math" w:cs="Cambria Math"/>
        </w:rPr>
        <w:t>𝐾</w:t>
      </w:r>
      <w:r>
        <w:rPr>
          <w:rFonts w:ascii="Cambria Math" w:eastAsia="Arial Black" w:hAnsi="Cambria Math" w:cs="Cambria Math"/>
          <w:vertAlign w:val="subscript"/>
        </w:rPr>
        <w:t>𝐵𝐹</w:t>
      </w:r>
      <w:r>
        <w:rPr>
          <w:rFonts w:ascii="Arial Black" w:eastAsia="Arial Black"/>
        </w:rPr>
        <w:t xml:space="preserve"> </w:t>
      </w:r>
      <w:r>
        <w:t>? En pratique, que cela signifie-t-il ?</w:t>
      </w:r>
    </w:p>
    <w:p w:rsidR="00326206" w:rsidRPr="00326206" w:rsidRDefault="00326206" w:rsidP="00326206">
      <w:pPr>
        <w:pStyle w:val="Corpsdetexte"/>
        <w:rPr>
          <w:strike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487237632" behindDoc="0" locked="0" layoutInCell="1" allowOverlap="1" wp14:anchorId="03203FEB" wp14:editId="0740D5DE">
            <wp:simplePos x="0" y="0"/>
            <wp:positionH relativeFrom="column">
              <wp:posOffset>4102100</wp:posOffset>
            </wp:positionH>
            <wp:positionV relativeFrom="paragraph">
              <wp:posOffset>66040</wp:posOffset>
            </wp:positionV>
            <wp:extent cx="742950" cy="323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5F" w:rsidRDefault="005E5C81" w:rsidP="00326206">
      <w:pPr>
        <w:pStyle w:val="Corpsdetexte"/>
        <w:spacing w:before="10"/>
        <w:ind w:left="312"/>
        <w:rPr>
          <w:rFonts w:ascii="Cambria Math" w:eastAsia="Arial Black" w:hAnsi="Cambria Math" w:cs="Cambria Math"/>
        </w:rPr>
      </w:pPr>
      <w:r>
        <w:t xml:space="preserve">Montrer que l’expression de sa constante de temps est : </w:t>
      </w:r>
    </w:p>
    <w:p w:rsidR="00326206" w:rsidRPr="00326206" w:rsidRDefault="00326206" w:rsidP="00326206">
      <w:pPr>
        <w:pStyle w:val="Corpsdetexte"/>
        <w:spacing w:before="10"/>
        <w:ind w:left="312"/>
        <w:rPr>
          <w:sz w:val="22"/>
        </w:rPr>
      </w:pPr>
    </w:p>
    <w:p w:rsidR="00EE7B5F" w:rsidRDefault="005E5C81">
      <w:pPr>
        <w:pStyle w:val="Titre1"/>
        <w:rPr>
          <w:u w:val="thick"/>
        </w:rPr>
      </w:pPr>
      <w:r w:rsidRPr="00326206">
        <w:rPr>
          <w:u w:val="thick"/>
        </w:rPr>
        <w:t>Gestion de la mise en sécurité par GRAFCET</w:t>
      </w:r>
    </w:p>
    <w:p w:rsidR="00B41347" w:rsidRPr="00326206" w:rsidRDefault="00B41347" w:rsidP="00B41347">
      <w:pPr>
        <w:pStyle w:val="Corpsdetexte"/>
        <w:rPr>
          <w:strike/>
          <w:sz w:val="16"/>
          <w:szCs w:val="16"/>
        </w:rPr>
      </w:pPr>
    </w:p>
    <w:p w:rsidR="00EE7B5F" w:rsidRDefault="00326206" w:rsidP="00326206">
      <w:pPr>
        <w:ind w:left="284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487236608" behindDoc="0" locked="0" layoutInCell="1" allowOverlap="1" wp14:anchorId="16C23864" wp14:editId="33FA04E2">
            <wp:simplePos x="0" y="0"/>
            <wp:positionH relativeFrom="column">
              <wp:posOffset>648335</wp:posOffset>
            </wp:positionH>
            <wp:positionV relativeFrom="paragraph">
              <wp:posOffset>3270885</wp:posOffset>
            </wp:positionV>
            <wp:extent cx="998220" cy="3124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81">
        <w:t>La production normale est gérée par un grafcet nommé GPN commençant à l’étape 10. La gestion des alarmes est gérée par le grafcet de surveillance GS.</w:t>
      </w:r>
    </w:p>
    <w:p w:rsidR="00EE7B5F" w:rsidRDefault="005E5C81">
      <w:pPr>
        <w:pStyle w:val="Corpsdetexte"/>
        <w:ind w:left="312"/>
      </w:pPr>
      <w:r>
        <w:t xml:space="preserve">Le grafcet de gestion des arrêts d’urgence se nomme GUR et commence </w:t>
      </w:r>
      <w:r>
        <w:t>à l’étape 0.</w:t>
      </w:r>
    </w:p>
    <w:p w:rsidR="00EE7B5F" w:rsidRDefault="005E5C81">
      <w:pPr>
        <w:pStyle w:val="Titre1"/>
      </w:pPr>
      <w:r>
        <w:t>La table des variables est donnée en annexe 5.</w:t>
      </w:r>
    </w:p>
    <w:p w:rsidR="00EE7B5F" w:rsidRDefault="005E5C81">
      <w:pPr>
        <w:pStyle w:val="Corpsdetexte"/>
        <w:ind w:left="312"/>
      </w:pPr>
      <w:r>
        <w:rPr>
          <w:u w:val="single"/>
        </w:rPr>
        <w:t>Cahier des charges</w:t>
      </w:r>
      <w:r>
        <w:t xml:space="preserve"> </w:t>
      </w:r>
      <w:r>
        <w:rPr>
          <w:u w:val="single"/>
        </w:rPr>
        <w:t>:</w:t>
      </w:r>
    </w:p>
    <w:p w:rsidR="00EE7B5F" w:rsidRDefault="005E5C81">
      <w:pPr>
        <w:pStyle w:val="Corpsdetexte"/>
        <w:ind w:left="312"/>
      </w:pPr>
      <w:r>
        <w:t>Lorsque le bouton d’arrêt d’urgence ARU est utilisé (contact NF) :</w:t>
      </w:r>
    </w:p>
    <w:p w:rsidR="00EE7B5F" w:rsidRDefault="005E5C81">
      <w:pPr>
        <w:pStyle w:val="Paragraphedeliste"/>
        <w:numPr>
          <w:ilvl w:val="0"/>
          <w:numId w:val="2"/>
        </w:numPr>
        <w:tabs>
          <w:tab w:val="left" w:pos="1393"/>
          <w:tab w:val="left" w:pos="1394"/>
        </w:tabs>
        <w:spacing w:before="1" w:line="293" w:lineRule="exact"/>
        <w:ind w:left="1393" w:hanging="361"/>
        <w:rPr>
          <w:sz w:val="24"/>
        </w:rPr>
      </w:pPr>
      <w:r>
        <w:rPr>
          <w:sz w:val="24"/>
        </w:rPr>
        <w:t>le grafcet GPN est initialisé</w:t>
      </w:r>
    </w:p>
    <w:p w:rsidR="00EE7B5F" w:rsidRDefault="005E5C81">
      <w:pPr>
        <w:pStyle w:val="Paragraphedeliste"/>
        <w:numPr>
          <w:ilvl w:val="0"/>
          <w:numId w:val="2"/>
        </w:numPr>
        <w:tabs>
          <w:tab w:val="left" w:pos="1393"/>
          <w:tab w:val="left" w:pos="1394"/>
        </w:tabs>
        <w:ind w:right="5374" w:firstLine="720"/>
        <w:rPr>
          <w:sz w:val="24"/>
        </w:rPr>
      </w:pPr>
      <w:r>
        <w:rPr>
          <w:sz w:val="24"/>
        </w:rPr>
        <w:t>le grafcet GS est forcé à l’étape 20 Lors du redémarrage :</w:t>
      </w:r>
    </w:p>
    <w:p w:rsidR="00EE7B5F" w:rsidRDefault="005E5C81">
      <w:pPr>
        <w:pStyle w:val="Paragraphedeliste"/>
        <w:numPr>
          <w:ilvl w:val="0"/>
          <w:numId w:val="1"/>
        </w:numPr>
        <w:tabs>
          <w:tab w:val="left" w:pos="1033"/>
          <w:tab w:val="left" w:pos="1034"/>
        </w:tabs>
        <w:spacing w:line="290" w:lineRule="exact"/>
        <w:ind w:hanging="361"/>
        <w:rPr>
          <w:sz w:val="24"/>
        </w:rPr>
      </w:pPr>
      <w:r>
        <w:rPr>
          <w:sz w:val="24"/>
        </w:rPr>
        <w:t>le bouton d’arrêt d’urgence doit être</w:t>
      </w:r>
      <w:r>
        <w:rPr>
          <w:spacing w:val="-12"/>
          <w:sz w:val="24"/>
        </w:rPr>
        <w:t xml:space="preserve"> </w:t>
      </w:r>
      <w:r>
        <w:rPr>
          <w:sz w:val="24"/>
        </w:rPr>
        <w:t>déverrouillé</w:t>
      </w:r>
    </w:p>
    <w:p w:rsidR="00EE7B5F" w:rsidRDefault="005E5C81">
      <w:pPr>
        <w:pStyle w:val="Paragraphedeliste"/>
        <w:numPr>
          <w:ilvl w:val="0"/>
          <w:numId w:val="1"/>
        </w:numPr>
        <w:tabs>
          <w:tab w:val="left" w:pos="1033"/>
          <w:tab w:val="left" w:pos="1034"/>
        </w:tabs>
        <w:ind w:right="513"/>
        <w:rPr>
          <w:sz w:val="24"/>
        </w:rPr>
      </w:pPr>
      <w:r>
        <w:rPr>
          <w:sz w:val="24"/>
        </w:rPr>
        <w:t xml:space="preserve">le bouton </w:t>
      </w:r>
      <w:proofErr w:type="spellStart"/>
      <w:r>
        <w:rPr>
          <w:sz w:val="24"/>
        </w:rPr>
        <w:t>Réarm</w:t>
      </w:r>
      <w:proofErr w:type="spellEnd"/>
      <w:r>
        <w:rPr>
          <w:sz w:val="24"/>
        </w:rPr>
        <w:t xml:space="preserve"> sur l’IHM doit avoir été appuyé 3 secondes, la variable B10 passe à 1 (B10=1) si le temps d’appui est supérieur à 3</w:t>
      </w:r>
      <w:r>
        <w:rPr>
          <w:spacing w:val="-4"/>
          <w:sz w:val="24"/>
        </w:rPr>
        <w:t xml:space="preserve"> </w:t>
      </w:r>
      <w:r>
        <w:rPr>
          <w:sz w:val="24"/>
        </w:rPr>
        <w:t>secondes</w:t>
      </w:r>
    </w:p>
    <w:p w:rsidR="00EE7B5F" w:rsidRDefault="005E5C81">
      <w:pPr>
        <w:pStyle w:val="Paragraphedeliste"/>
        <w:numPr>
          <w:ilvl w:val="0"/>
          <w:numId w:val="1"/>
        </w:numPr>
        <w:tabs>
          <w:tab w:val="left" w:pos="1033"/>
          <w:tab w:val="left" w:pos="1034"/>
        </w:tabs>
        <w:spacing w:line="293" w:lineRule="exact"/>
        <w:ind w:hanging="361"/>
        <w:rPr>
          <w:sz w:val="24"/>
        </w:rPr>
      </w:pPr>
      <w:r>
        <w:rPr>
          <w:sz w:val="24"/>
        </w:rPr>
        <w:t>le grafcet GPN doit être sur son étape</w:t>
      </w:r>
      <w:r>
        <w:rPr>
          <w:spacing w:val="-4"/>
          <w:sz w:val="24"/>
        </w:rPr>
        <w:t xml:space="preserve"> </w:t>
      </w:r>
      <w:r>
        <w:rPr>
          <w:sz w:val="24"/>
        </w:rPr>
        <w:t>initiale</w:t>
      </w:r>
    </w:p>
    <w:p w:rsidR="00EE7B5F" w:rsidRDefault="00EE7B5F">
      <w:pPr>
        <w:pStyle w:val="Corpsdetexte"/>
        <w:spacing w:before="8"/>
        <w:rPr>
          <w:sz w:val="23"/>
        </w:rPr>
      </w:pPr>
    </w:p>
    <w:p w:rsidR="00EE7B5F" w:rsidRDefault="005E5C81">
      <w:pPr>
        <w:pStyle w:val="Corpsdetexte"/>
        <w:ind w:left="312"/>
      </w:pPr>
      <w:r>
        <w:rPr>
          <w:b/>
        </w:rPr>
        <w:t xml:space="preserve">Q19 - </w:t>
      </w:r>
      <w:r>
        <w:t>Dessiner un grafcet GUR de gestion des arrêts d’urgence respectant le cahier des charges.</w:t>
      </w:r>
    </w:p>
    <w:p w:rsidR="00EE7B5F" w:rsidRDefault="00EE7B5F">
      <w:pPr>
        <w:sectPr w:rsidR="00EE7B5F">
          <w:type w:val="continuous"/>
          <w:pgSz w:w="11910" w:h="16840"/>
          <w:pgMar w:top="1580" w:right="620" w:bottom="280" w:left="820" w:header="720" w:footer="720" w:gutter="0"/>
          <w:cols w:space="720"/>
        </w:sectPr>
      </w:pPr>
    </w:p>
    <w:p w:rsidR="00EE7B5F" w:rsidRDefault="005E5C81">
      <w:pPr>
        <w:pStyle w:val="Titre1"/>
        <w:spacing w:before="66"/>
      </w:pPr>
      <w:r>
        <w:rPr>
          <w:u w:val="thick"/>
        </w:rPr>
        <w:t>Communication</w:t>
      </w:r>
    </w:p>
    <w:p w:rsidR="00EE7B5F" w:rsidRDefault="00EE7B5F">
      <w:pPr>
        <w:pStyle w:val="Corpsdetexte"/>
        <w:rPr>
          <w:b/>
          <w:sz w:val="16"/>
        </w:rPr>
      </w:pPr>
    </w:p>
    <w:p w:rsidR="00EE7B5F" w:rsidRDefault="005E5C81">
      <w:pPr>
        <w:pStyle w:val="Corpsdetexte"/>
        <w:spacing w:before="92"/>
        <w:ind w:left="312" w:right="512"/>
        <w:jc w:val="both"/>
      </w:pPr>
      <w:r>
        <w:t>Le procédé est équipé d’un réseau local de communication connecté en étoile grâce à un routeur</w:t>
      </w:r>
      <w:r>
        <w:rPr>
          <w:spacing w:val="-12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reste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l’usine,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lequel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in</w:t>
      </w:r>
      <w:r>
        <w:t>clus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écran</w:t>
      </w:r>
      <w:r>
        <w:rPr>
          <w:spacing w:val="-11"/>
        </w:rPr>
        <w:t xml:space="preserve"> </w:t>
      </w:r>
      <w:r>
        <w:t>IHM,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variateurs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vitesse et l’automate de gestion API. Chaque composant possède une adresse</w:t>
      </w:r>
      <w:r>
        <w:rPr>
          <w:spacing w:val="-29"/>
        </w:rPr>
        <w:t xml:space="preserve"> </w:t>
      </w:r>
      <w:r>
        <w:rPr>
          <w:spacing w:val="-11"/>
        </w:rPr>
        <w:t>IP.</w:t>
      </w:r>
    </w:p>
    <w:p w:rsidR="00EE7B5F" w:rsidRDefault="005E5C81">
      <w:pPr>
        <w:pStyle w:val="Corpsdetexte"/>
        <w:ind w:left="312"/>
        <w:jc w:val="both"/>
      </w:pPr>
      <w:r>
        <w:t>L’adresse IP du réseau est : 172.16.10.0.</w:t>
      </w:r>
    </w:p>
    <w:p w:rsidR="00EE7B5F" w:rsidRDefault="005E5C81">
      <w:pPr>
        <w:pStyle w:val="Corpsdetexte"/>
        <w:ind w:left="312"/>
        <w:jc w:val="both"/>
      </w:pPr>
      <w:r>
        <w:t>Le masque de sous-réseau est : 255.255.255.0.</w:t>
      </w:r>
    </w:p>
    <w:p w:rsidR="00EE7B5F" w:rsidRDefault="005E5C81">
      <w:pPr>
        <w:pStyle w:val="Corpsdetexte"/>
        <w:ind w:left="312"/>
        <w:jc w:val="both"/>
      </w:pPr>
      <w:r>
        <w:t>L’API est sur la première adresse machine : 172.16.10.1</w:t>
      </w:r>
    </w:p>
    <w:p w:rsidR="00EE7B5F" w:rsidRDefault="00EE7B5F">
      <w:pPr>
        <w:pStyle w:val="Corpsdetexte"/>
      </w:pPr>
    </w:p>
    <w:p w:rsidR="00EE7B5F" w:rsidRDefault="005E5C81">
      <w:pPr>
        <w:pStyle w:val="Corpsdetexte"/>
        <w:ind w:left="312"/>
      </w:pPr>
      <w:r>
        <w:rPr>
          <w:b/>
        </w:rPr>
        <w:t xml:space="preserve">Q20 - </w:t>
      </w:r>
      <w:r>
        <w:t>Définir la fonction du masque de sous-réseau.</w:t>
      </w:r>
    </w:p>
    <w:p w:rsidR="00EE7B5F" w:rsidRDefault="005E5C81">
      <w:pPr>
        <w:pStyle w:val="Corpsdetexte"/>
        <w:spacing w:before="3" w:line="550" w:lineRule="atLeast"/>
        <w:ind w:left="312" w:right="3474"/>
      </w:pPr>
      <w:r>
        <w:rPr>
          <w:b/>
        </w:rPr>
        <w:t xml:space="preserve">Q21 </w:t>
      </w:r>
      <w:r>
        <w:rPr>
          <w:rFonts w:ascii="Liberation Serif" w:hAnsi="Liberation Serif"/>
          <w:b/>
        </w:rPr>
        <w:t xml:space="preserve">- </w:t>
      </w:r>
      <w:r>
        <w:t>Donner le nombre d’adresses disponibles sur ce réseau. On attribue l’adresse 172.16.10.5 à l’IHM.</w:t>
      </w:r>
    </w:p>
    <w:p w:rsidR="00EE7B5F" w:rsidRDefault="005E5C81">
      <w:pPr>
        <w:pStyle w:val="Corpsdetexte"/>
        <w:spacing w:before="121"/>
        <w:ind w:left="312"/>
      </w:pPr>
      <w:r>
        <w:rPr>
          <w:b/>
        </w:rPr>
        <w:t xml:space="preserve">Q22 - </w:t>
      </w:r>
      <w:r>
        <w:t>Cette adresse est-elle compatible ave</w:t>
      </w:r>
      <w:r>
        <w:t>c ce réseau ? Justifier.</w:t>
      </w:r>
    </w:p>
    <w:p w:rsidR="00EE7B5F" w:rsidRDefault="00EE7B5F">
      <w:pPr>
        <w:sectPr w:rsidR="00EE7B5F">
          <w:pgSz w:w="11910" w:h="16840"/>
          <w:pgMar w:top="1260" w:right="620" w:bottom="1300" w:left="820" w:header="0" w:footer="1118" w:gutter="0"/>
          <w:cols w:space="720"/>
        </w:sectPr>
      </w:pPr>
    </w:p>
    <w:p w:rsidR="00EE7B5F" w:rsidRDefault="005E5C81">
      <w:pPr>
        <w:pStyle w:val="Corpsdetexte"/>
        <w:spacing w:before="10"/>
        <w:rPr>
          <w:sz w:val="16"/>
        </w:rPr>
      </w:pPr>
      <w:r>
        <w:pict>
          <v:group id="_x0000_s1029" alt="schema_acide_acetique.png" style="position:absolute;margin-left:56.7pt;margin-top:39.7pt;width:471.75pt;height:713.3pt;z-index:-16082432;mso-position-horizontal-relative:page;mso-position-vertical-relative:page" coordorigin="1134,794" coordsize="9435,14266">
            <v:shape id="_x0000_s1032" type="#_x0000_t75" alt="schema_acide_acetique.png" style="position:absolute;left:1134;top:794;width:9435;height:14266">
              <v:imagedata r:id="rId18" o:title=""/>
            </v:shape>
            <v:shape id="_x0000_s1031" style="position:absolute;left:4354;top:4975;width:4685;height:7010" coordorigin="4354,4975" coordsize="4685,7010" o:spt="100" adj="0,,0" path="m4354,9881r487,l4841,9439r-487,l4354,9881xm7145,11985r487,l7632,11543r-487,l7145,11985xm8552,5417r487,l9039,4975r-487,l8552,5417xe" filled="f">
              <v:stroke joinstyle="round"/>
              <v:formulas/>
              <v:path arrowok="t" o:connecttype="segments"/>
            </v:shape>
            <v:shape id="_x0000_s1030" style="position:absolute;left:1882;top:6644;width:6258;height:8004" coordorigin="1882,6644" coordsize="6258,8004" o:spt="100" adj="0,,0" path="m3231,6644r,328m4456,14320r,328m8140,10975r-283,m2165,11883r-283,e" filled="f" strokeweight="1.5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EE7B5F" w:rsidRDefault="005E5C81">
      <w:pPr>
        <w:pStyle w:val="Titre1"/>
        <w:spacing w:before="93"/>
        <w:ind w:left="115"/>
      </w:pPr>
      <w:r>
        <w:t>Annexe 1:</w:t>
      </w:r>
    </w:p>
    <w:p w:rsidR="00EE7B5F" w:rsidRDefault="005E5C81">
      <w:pPr>
        <w:spacing w:before="7"/>
        <w:ind w:left="115"/>
        <w:rPr>
          <w:b/>
          <w:sz w:val="24"/>
        </w:rPr>
      </w:pPr>
      <w:r>
        <w:rPr>
          <w:b/>
          <w:sz w:val="24"/>
        </w:rPr>
        <w:t>Document réponse à rendre avec la copie</w:t>
      </w: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spacing w:before="1"/>
        <w:rPr>
          <w:b/>
          <w:sz w:val="29"/>
        </w:rPr>
      </w:pPr>
    </w:p>
    <w:p w:rsidR="00EE7B5F" w:rsidRDefault="005E5C81">
      <w:pPr>
        <w:pStyle w:val="Corpsdetexte"/>
        <w:spacing w:before="93"/>
        <w:ind w:left="3409" w:right="334"/>
        <w:jc w:val="center"/>
      </w:pPr>
      <w:r>
        <w:t>V6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spacing w:before="2"/>
        <w:rPr>
          <w:sz w:val="27"/>
        </w:rPr>
      </w:pPr>
    </w:p>
    <w:p w:rsidR="00EE7B5F" w:rsidRDefault="005E5C81">
      <w:pPr>
        <w:pStyle w:val="Corpsdetexte"/>
        <w:spacing w:before="93"/>
        <w:ind w:right="2447"/>
        <w:jc w:val="right"/>
      </w:pPr>
      <w:r>
        <w:rPr>
          <w:w w:val="99"/>
        </w:rPr>
        <w:t>3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spacing w:before="9"/>
        <w:rPr>
          <w:sz w:val="18"/>
        </w:rPr>
      </w:pPr>
    </w:p>
    <w:p w:rsidR="00EE7B5F" w:rsidRDefault="005E5C81">
      <w:pPr>
        <w:pStyle w:val="Corpsdetexte"/>
        <w:spacing w:before="93"/>
        <w:ind w:left="3131"/>
      </w:pPr>
      <w:r>
        <w:t>V1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spacing w:before="4"/>
        <w:rPr>
          <w:sz w:val="25"/>
        </w:rPr>
      </w:pPr>
    </w:p>
    <w:p w:rsidR="00EE7B5F" w:rsidRDefault="005E5C81">
      <w:pPr>
        <w:pStyle w:val="Corpsdetexte"/>
        <w:spacing w:before="92"/>
        <w:ind w:right="2959"/>
        <w:jc w:val="center"/>
      </w:pPr>
      <w:r>
        <w:rPr>
          <w:w w:val="99"/>
        </w:rPr>
        <w:t>1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5E5C81">
      <w:pPr>
        <w:pStyle w:val="Corpsdetexte"/>
        <w:tabs>
          <w:tab w:val="left" w:pos="7223"/>
        </w:tabs>
        <w:spacing w:before="219"/>
        <w:ind w:left="6477"/>
      </w:pPr>
      <w:r>
        <w:rPr>
          <w:position w:val="13"/>
        </w:rPr>
        <w:t>2</w:t>
      </w:r>
      <w:r>
        <w:rPr>
          <w:position w:val="13"/>
        </w:rPr>
        <w:tab/>
      </w:r>
      <w:r>
        <w:t>V5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spacing w:before="6"/>
      </w:pPr>
    </w:p>
    <w:p w:rsidR="00EE7B5F" w:rsidRDefault="005E5C81">
      <w:pPr>
        <w:pStyle w:val="Corpsdetexte"/>
        <w:spacing w:before="93"/>
        <w:ind w:left="1244"/>
      </w:pPr>
      <w:r>
        <w:t>V2</w:t>
      </w: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EE7B5F">
      <w:pPr>
        <w:pStyle w:val="Corpsdetexte"/>
        <w:rPr>
          <w:sz w:val="20"/>
        </w:rPr>
      </w:pPr>
    </w:p>
    <w:p w:rsidR="00EE7B5F" w:rsidRDefault="005E5C81">
      <w:pPr>
        <w:pStyle w:val="Corpsdetexte"/>
        <w:spacing w:before="233"/>
        <w:ind w:left="318" w:right="1695"/>
        <w:jc w:val="center"/>
      </w:pPr>
      <w:r>
        <w:t>V3</w:t>
      </w:r>
    </w:p>
    <w:p w:rsidR="00EE7B5F" w:rsidRDefault="00EE7B5F">
      <w:pPr>
        <w:jc w:val="center"/>
        <w:sectPr w:rsidR="00EE7B5F">
          <w:pgSz w:w="11910" w:h="16840"/>
          <w:pgMar w:top="780" w:right="620" w:bottom="1300" w:left="820" w:header="0" w:footer="1118" w:gutter="0"/>
          <w:cols w:space="720"/>
        </w:sectPr>
      </w:pPr>
    </w:p>
    <w:p w:rsidR="00EE7B5F" w:rsidRDefault="005E5C81">
      <w:pPr>
        <w:pStyle w:val="Titre1"/>
        <w:spacing w:before="74"/>
        <w:ind w:left="118"/>
      </w:pPr>
      <w:r>
        <w:t>Annexe 2 :</w:t>
      </w:r>
    </w:p>
    <w:p w:rsidR="00EE7B5F" w:rsidRDefault="005E5C81">
      <w:pPr>
        <w:spacing w:before="7"/>
        <w:ind w:left="118"/>
        <w:rPr>
          <w:b/>
          <w:sz w:val="24"/>
        </w:rPr>
      </w:pPr>
      <w:r>
        <w:rPr>
          <w:b/>
          <w:sz w:val="24"/>
        </w:rPr>
        <w:t>Document réponse à rendre avec la copie</w:t>
      </w: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5E5C81">
      <w:pPr>
        <w:pStyle w:val="Corpsdetexte"/>
        <w:spacing w:before="228"/>
        <w:ind w:right="1384"/>
        <w:jc w:val="center"/>
      </w:pPr>
      <w:r>
        <w:pict>
          <v:group id="_x0000_s1026" alt="schema_montage_capteur_niveau.png" style="position:absolute;left:0;text-align:left;margin-left:58.55pt;margin-top:-218.1pt;width:438.6pt;height:631.5pt;z-index:-16081920;mso-position-horizontal-relative:page" coordorigin="1171,-4362" coordsize="8772,12630">
            <v:shape id="_x0000_s1028" type="#_x0000_t75" alt="schema_montage_capteur_niveau.png" style="position:absolute;left:1171;top:-4363;width:8772;height:12630">
              <v:imagedata r:id="rId19" o:title=""/>
            </v:shape>
            <v:rect id="_x0000_s1027" style="position:absolute;left:5140;top:153;width:498;height:444" filled="f"/>
            <w10:wrap anchorx="page"/>
          </v:group>
        </w:pict>
      </w:r>
      <w:r>
        <w:rPr>
          <w:w w:val="99"/>
        </w:rPr>
        <w:t>1</w:t>
      </w:r>
    </w:p>
    <w:p w:rsidR="00EE7B5F" w:rsidRDefault="00EE7B5F">
      <w:pPr>
        <w:jc w:val="center"/>
        <w:sectPr w:rsidR="00EE7B5F">
          <w:pgSz w:w="11910" w:h="16840"/>
          <w:pgMar w:top="1000" w:right="620" w:bottom="1300" w:left="820" w:header="0" w:footer="1118" w:gutter="0"/>
          <w:cols w:space="720"/>
        </w:sectPr>
      </w:pPr>
    </w:p>
    <w:p w:rsidR="00EE7B5F" w:rsidRDefault="005E5C81">
      <w:pPr>
        <w:pStyle w:val="Titre1"/>
        <w:spacing w:before="80"/>
        <w:ind w:left="269"/>
      </w:pPr>
      <w:r>
        <w:t>Annexe 3 :</w:t>
      </w:r>
    </w:p>
    <w:p w:rsidR="00EE7B5F" w:rsidRDefault="005E5C81">
      <w:pPr>
        <w:spacing w:before="5"/>
        <w:ind w:left="269"/>
        <w:rPr>
          <w:b/>
          <w:sz w:val="24"/>
        </w:rPr>
      </w:pPr>
      <w:r>
        <w:rPr>
          <w:b/>
          <w:sz w:val="24"/>
        </w:rPr>
        <w:t>Document réponse à rendre avec la copie</w:t>
      </w:r>
    </w:p>
    <w:p w:rsidR="00EE7B5F" w:rsidRDefault="005E5C81">
      <w:pPr>
        <w:pStyle w:val="Corpsdetexte"/>
        <w:spacing w:before="6"/>
        <w:rPr>
          <w:b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24" behindDoc="0" locked="0" layoutInCell="1" allowOverlap="1" wp14:anchorId="2DB5C822" wp14:editId="31CB8DE7">
            <wp:simplePos x="0" y="0"/>
            <wp:positionH relativeFrom="page">
              <wp:posOffset>720090</wp:posOffset>
            </wp:positionH>
            <wp:positionV relativeFrom="paragraph">
              <wp:posOffset>123600</wp:posOffset>
            </wp:positionV>
            <wp:extent cx="6073574" cy="4223670"/>
            <wp:effectExtent l="0" t="0" r="0" b="0"/>
            <wp:wrapTopAndBottom/>
            <wp:docPr id="1" name="image4.png" descr="cabl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574" cy="42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B5F" w:rsidRDefault="00EE7B5F">
      <w:pPr>
        <w:rPr>
          <w:sz w:val="13"/>
        </w:rPr>
        <w:sectPr w:rsidR="00EE7B5F">
          <w:pgSz w:w="11910" w:h="16840"/>
          <w:pgMar w:top="720" w:right="620" w:bottom="1300" w:left="820" w:header="0" w:footer="1118" w:gutter="0"/>
          <w:cols w:space="720"/>
        </w:sectPr>
      </w:pPr>
    </w:p>
    <w:p w:rsidR="00EE7B5F" w:rsidRDefault="005E5C81">
      <w:pPr>
        <w:spacing w:before="80"/>
        <w:ind w:left="510"/>
        <w:rPr>
          <w:b/>
          <w:sz w:val="24"/>
        </w:rPr>
      </w:pPr>
      <w:r>
        <w:rPr>
          <w:b/>
          <w:sz w:val="24"/>
        </w:rPr>
        <w:t>Annexe 4 :</w:t>
      </w:r>
    </w:p>
    <w:p w:rsidR="00EE7B5F" w:rsidRDefault="005E5C81">
      <w:pPr>
        <w:spacing w:before="5"/>
        <w:ind w:left="510"/>
        <w:rPr>
          <w:b/>
          <w:sz w:val="24"/>
        </w:rPr>
      </w:pPr>
      <w:r>
        <w:rPr>
          <w:b/>
          <w:sz w:val="24"/>
        </w:rPr>
        <w:t>Document technique : capteurs de température</w:t>
      </w: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spacing w:before="8"/>
        <w:rPr>
          <w:b/>
          <w:sz w:val="1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490"/>
        <w:gridCol w:w="2492"/>
        <w:gridCol w:w="2492"/>
      </w:tblGrid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Dénomination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997" w:right="989"/>
              <w:jc w:val="center"/>
              <w:rPr>
                <w:rFonts w:ascii="Liberation Serif"/>
                <w:b/>
                <w:sz w:val="24"/>
              </w:rPr>
            </w:pPr>
            <w:r>
              <w:rPr>
                <w:rFonts w:ascii="Liberation Serif"/>
                <w:b/>
                <w:sz w:val="24"/>
              </w:rPr>
              <w:t>CT1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996" w:right="987"/>
              <w:jc w:val="center"/>
              <w:rPr>
                <w:rFonts w:ascii="Liberation Serif"/>
                <w:b/>
                <w:sz w:val="24"/>
              </w:rPr>
            </w:pPr>
            <w:r>
              <w:rPr>
                <w:rFonts w:ascii="Liberation Serif"/>
                <w:b/>
                <w:sz w:val="24"/>
              </w:rPr>
              <w:t>CT2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993" w:right="989"/>
              <w:jc w:val="center"/>
              <w:rPr>
                <w:rFonts w:ascii="Liberation Serif"/>
                <w:b/>
                <w:sz w:val="24"/>
              </w:rPr>
            </w:pPr>
            <w:r>
              <w:rPr>
                <w:rFonts w:ascii="Liberation Serif"/>
                <w:b/>
                <w:sz w:val="24"/>
              </w:rPr>
              <w:t>CT3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 de capteur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PT100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PT100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PT1000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 de fils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2 ou 3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2, 3 ou 4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2, 3 ou 4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Étendue de mesure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0 – 100 °C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0 – 100 °C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-200 – 950 °C</w:t>
            </w:r>
          </w:p>
        </w:tc>
      </w:tr>
      <w:tr w:rsidR="00EE7B5F">
        <w:trPr>
          <w:trHeight w:val="277"/>
        </w:trPr>
        <w:tc>
          <w:tcPr>
            <w:tcW w:w="2492" w:type="dxa"/>
          </w:tcPr>
          <w:p w:rsidR="00EE7B5F" w:rsidRDefault="005E5C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Transmetteur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4-20 mA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4-20 mA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4-20 mA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Normes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EN 60751/IEC 60751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EN 60751/IEC 60751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EN 60751/IEC 60751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Résolution CAN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8 bits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10 bits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10 bits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Longueur d’insertion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110 mm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120 mm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130 mm</w:t>
            </w:r>
          </w:p>
        </w:tc>
      </w:tr>
      <w:tr w:rsidR="00EE7B5F">
        <w:trPr>
          <w:trHeight w:val="275"/>
        </w:trPr>
        <w:tc>
          <w:tcPr>
            <w:tcW w:w="249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Poids</w:t>
            </w:r>
          </w:p>
        </w:tc>
        <w:tc>
          <w:tcPr>
            <w:tcW w:w="2490" w:type="dxa"/>
          </w:tcPr>
          <w:p w:rsidR="00EE7B5F" w:rsidRDefault="005E5C81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120g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150g</w:t>
            </w:r>
          </w:p>
        </w:tc>
        <w:tc>
          <w:tcPr>
            <w:tcW w:w="2492" w:type="dxa"/>
          </w:tcPr>
          <w:p w:rsidR="00EE7B5F" w:rsidRDefault="005E5C81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150g</w:t>
            </w:r>
          </w:p>
        </w:tc>
      </w:tr>
    </w:tbl>
    <w:p w:rsidR="00EE7B5F" w:rsidRDefault="00EE7B5F">
      <w:pPr>
        <w:pStyle w:val="Corpsdetexte"/>
        <w:rPr>
          <w:b/>
          <w:sz w:val="26"/>
        </w:rPr>
      </w:pPr>
    </w:p>
    <w:p w:rsidR="00EE7B5F" w:rsidRDefault="00EE7B5F">
      <w:pPr>
        <w:pStyle w:val="Corpsdetexte"/>
        <w:rPr>
          <w:b/>
          <w:sz w:val="26"/>
        </w:rPr>
      </w:pPr>
    </w:p>
    <w:p w:rsidR="00EE7B5F" w:rsidRDefault="00EE7B5F">
      <w:pPr>
        <w:pStyle w:val="Corpsdetexte"/>
        <w:rPr>
          <w:b/>
          <w:sz w:val="26"/>
        </w:rPr>
      </w:pPr>
    </w:p>
    <w:p w:rsidR="00EE7B5F" w:rsidRDefault="005E5C81">
      <w:pPr>
        <w:spacing w:before="172"/>
        <w:ind w:left="478"/>
        <w:rPr>
          <w:b/>
          <w:sz w:val="24"/>
        </w:rPr>
      </w:pPr>
      <w:r>
        <w:rPr>
          <w:b/>
          <w:sz w:val="24"/>
        </w:rPr>
        <w:t>Annexe 5 :</w:t>
      </w:r>
    </w:p>
    <w:p w:rsidR="00EE7B5F" w:rsidRDefault="005E5C81">
      <w:pPr>
        <w:spacing w:before="7"/>
        <w:ind w:left="478"/>
        <w:rPr>
          <w:b/>
          <w:sz w:val="24"/>
        </w:rPr>
      </w:pPr>
      <w:r>
        <w:rPr>
          <w:b/>
          <w:sz w:val="24"/>
        </w:rPr>
        <w:t>Table des variables API</w:t>
      </w: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rPr>
          <w:b/>
          <w:sz w:val="20"/>
        </w:rPr>
      </w:pPr>
    </w:p>
    <w:p w:rsidR="00EE7B5F" w:rsidRDefault="00EE7B5F">
      <w:pPr>
        <w:pStyle w:val="Corpsdetexte"/>
        <w:spacing w:before="10"/>
        <w:rPr>
          <w:b/>
          <w:sz w:val="19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22"/>
        <w:gridCol w:w="3322"/>
      </w:tblGrid>
      <w:tr w:rsidR="00EE7B5F">
        <w:trPr>
          <w:trHeight w:val="275"/>
        </w:trPr>
        <w:tc>
          <w:tcPr>
            <w:tcW w:w="3320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Commentaires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DEFP1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BOOL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Défaut P1</w:t>
            </w:r>
          </w:p>
        </w:tc>
      </w:tr>
      <w:tr w:rsidR="00EE7B5F">
        <w:trPr>
          <w:trHeight w:val="266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ARU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Bouton arrêt d’urgence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V1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Vanne NF</w:t>
            </w:r>
          </w:p>
        </w:tc>
      </w:tr>
      <w:tr w:rsidR="00EE7B5F">
        <w:trPr>
          <w:trHeight w:val="265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V2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Vanne NF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V3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Vannes NO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V4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Vannes NO</w:t>
            </w:r>
          </w:p>
        </w:tc>
      </w:tr>
      <w:tr w:rsidR="00EE7B5F">
        <w:trPr>
          <w:trHeight w:val="266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V5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Vannes NO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V6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Vannes NO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P1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Pompe 1</w:t>
            </w:r>
          </w:p>
        </w:tc>
      </w:tr>
      <w:tr w:rsidR="00EE7B5F">
        <w:trPr>
          <w:trHeight w:val="265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P2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Pompe 2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P3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Pompe 3</w:t>
            </w:r>
          </w:p>
        </w:tc>
      </w:tr>
      <w:tr w:rsidR="00EE7B5F">
        <w:trPr>
          <w:trHeight w:val="265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AL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BOOL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Alarme IHM</w:t>
            </w:r>
          </w:p>
        </w:tc>
      </w:tr>
      <w:tr w:rsidR="00EE7B5F">
        <w:trPr>
          <w:trHeight w:val="263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VOYR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TOR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Voyant rouge pupitre</w:t>
            </w:r>
          </w:p>
        </w:tc>
      </w:tr>
      <w:tr w:rsidR="00EE7B5F">
        <w:trPr>
          <w:trHeight w:val="527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REARM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BOOL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before="2" w:line="264" w:lineRule="exact"/>
              <w:ind w:right="446"/>
              <w:rPr>
                <w:sz w:val="23"/>
              </w:rPr>
            </w:pPr>
            <w:r>
              <w:rPr>
                <w:sz w:val="23"/>
              </w:rPr>
              <w:t>Bouton de réarmement sur l’IHM</w:t>
            </w:r>
          </w:p>
        </w:tc>
      </w:tr>
      <w:tr w:rsidR="00EE7B5F">
        <w:trPr>
          <w:trHeight w:val="528"/>
        </w:trPr>
        <w:tc>
          <w:tcPr>
            <w:tcW w:w="3320" w:type="dxa"/>
          </w:tcPr>
          <w:p w:rsidR="00EE7B5F" w:rsidRDefault="005E5C8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B10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BOOL</w:t>
            </w:r>
          </w:p>
        </w:tc>
        <w:tc>
          <w:tcPr>
            <w:tcW w:w="3322" w:type="dxa"/>
          </w:tcPr>
          <w:p w:rsidR="00EE7B5F" w:rsidRDefault="005E5C81">
            <w:pPr>
              <w:pStyle w:val="TableParagraph"/>
              <w:spacing w:before="2" w:line="264" w:lineRule="exact"/>
              <w:ind w:right="408"/>
              <w:rPr>
                <w:sz w:val="23"/>
              </w:rPr>
            </w:pPr>
            <w:r>
              <w:rPr>
                <w:sz w:val="23"/>
              </w:rPr>
              <w:t>Mémoire temps d’appui sur REARM&gt; 3s</w:t>
            </w:r>
          </w:p>
        </w:tc>
      </w:tr>
    </w:tbl>
    <w:p w:rsidR="005E5C81" w:rsidRDefault="005E5C81"/>
    <w:sectPr w:rsidR="005E5C81">
      <w:pgSz w:w="11910" w:h="16840"/>
      <w:pgMar w:top="960" w:right="620" w:bottom="1300" w:left="820" w:header="0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81" w:rsidRDefault="005E5C81">
      <w:r>
        <w:separator/>
      </w:r>
    </w:p>
  </w:endnote>
  <w:endnote w:type="continuationSeparator" w:id="0">
    <w:p w:rsidR="005E5C81" w:rsidRDefault="005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5F" w:rsidRDefault="005E5C81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4pt;margin-top:775.8pt;width:467.15pt;height:43.95pt;z-index:15729152;mso-position-horizontal-relative:page;mso-position-vertical-relative:page" filled="f" stroked="f">
          <v:textbox style="mso-next-textbox:#_x0000_s2049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77"/>
                  <w:gridCol w:w="2156"/>
                  <w:gridCol w:w="2096"/>
                </w:tblGrid>
                <w:tr w:rsidR="00EE7B5F">
                  <w:trPr>
                    <w:trHeight w:val="273"/>
                  </w:trPr>
                  <w:tc>
                    <w:tcPr>
                      <w:tcW w:w="7233" w:type="dxa"/>
                      <w:gridSpan w:val="2"/>
                    </w:tcPr>
                    <w:p w:rsidR="00EE7B5F" w:rsidRDefault="005E5C81">
                      <w:pPr>
                        <w:pStyle w:val="TableParagraph"/>
                        <w:spacing w:line="250" w:lineRule="exact"/>
                        <w:ind w:left="107"/>
                      </w:pPr>
                      <w:r>
                        <w:t>BTS CONTRÔLE INDUSTRIEL ET RÉGULATION AUTOMATIQUE</w:t>
                      </w:r>
                    </w:p>
                  </w:tc>
                  <w:tc>
                    <w:tcPr>
                      <w:tcW w:w="2096" w:type="dxa"/>
                    </w:tcPr>
                    <w:p w:rsidR="00EE7B5F" w:rsidRDefault="005E5C81">
                      <w:pPr>
                        <w:pStyle w:val="TableParagraph"/>
                        <w:spacing w:before="7" w:line="246" w:lineRule="exact"/>
                        <w:ind w:left="381"/>
                      </w:pPr>
                      <w:r>
                        <w:t>Session 2022</w:t>
                      </w:r>
                    </w:p>
                  </w:tc>
                </w:tr>
                <w:tr w:rsidR="00EE7B5F">
                  <w:trPr>
                    <w:trHeight w:val="575"/>
                  </w:trPr>
                  <w:tc>
                    <w:tcPr>
                      <w:tcW w:w="5077" w:type="dxa"/>
                    </w:tcPr>
                    <w:p w:rsidR="00EE7B5F" w:rsidRDefault="005E5C81">
                      <w:pPr>
                        <w:pStyle w:val="TableParagraph"/>
                        <w:spacing w:before="33" w:line="240" w:lineRule="auto"/>
                        <w:ind w:left="107" w:right="659"/>
                      </w:pPr>
                      <w:r>
                        <w:t>Analyse d’une installation d’instrumentation, contrôle et régulation</w:t>
                      </w:r>
                    </w:p>
                  </w:tc>
                  <w:tc>
                    <w:tcPr>
                      <w:tcW w:w="2156" w:type="dxa"/>
                    </w:tcPr>
                    <w:p w:rsidR="00EE7B5F" w:rsidRDefault="005E5C81">
                      <w:pPr>
                        <w:pStyle w:val="TableParagraph"/>
                        <w:spacing w:before="149" w:line="240" w:lineRule="auto"/>
                        <w:ind w:left="107"/>
                        <w:rPr>
                          <w:sz w:val="24"/>
                        </w:rPr>
                      </w:pPr>
                      <w:r>
                        <w:t xml:space="preserve">Code : </w:t>
                      </w:r>
                      <w:r>
                        <w:rPr>
                          <w:sz w:val="24"/>
                        </w:rPr>
                        <w:t>22CA52AII</w:t>
                      </w:r>
                    </w:p>
                  </w:tc>
                  <w:tc>
                    <w:tcPr>
                      <w:tcW w:w="2096" w:type="dxa"/>
                    </w:tcPr>
                    <w:p w:rsidR="00EE7B5F" w:rsidRDefault="005E5C81">
                      <w:pPr>
                        <w:pStyle w:val="TableParagraph"/>
                        <w:spacing w:before="156" w:line="240" w:lineRule="auto"/>
                        <w:ind w:left="361"/>
                        <w:rPr>
                          <w:b/>
                        </w:rPr>
                      </w:pPr>
                      <w:r>
                        <w:t xml:space="preserve">Page </w:t>
                      </w:r>
                      <w:r>
                        <w:rPr>
                          <w:b/>
                        </w:rPr>
                        <w:t xml:space="preserve">2 </w:t>
                      </w:r>
                      <w:r>
                        <w:t xml:space="preserve">sur </w:t>
                      </w:r>
                      <w:r>
                        <w:rPr>
                          <w:b/>
                        </w:rPr>
                        <w:t>10</w:t>
                      </w:r>
                    </w:p>
                  </w:tc>
                </w:tr>
              </w:tbl>
              <w:p w:rsidR="00EE7B5F" w:rsidRDefault="00EE7B5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81" w:rsidRDefault="005E5C81">
      <w:r>
        <w:separator/>
      </w:r>
    </w:p>
  </w:footnote>
  <w:footnote w:type="continuationSeparator" w:id="0">
    <w:p w:rsidR="005E5C81" w:rsidRDefault="005E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E0C"/>
    <w:multiLevelType w:val="hybridMultilevel"/>
    <w:tmpl w:val="24D67C9A"/>
    <w:lvl w:ilvl="0" w:tplc="8F2872CA">
      <w:numFmt w:val="bullet"/>
      <w:lvlText w:val=""/>
      <w:lvlJc w:val="left"/>
      <w:pPr>
        <w:ind w:left="31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704DB4A">
      <w:numFmt w:val="bullet"/>
      <w:lvlText w:val="•"/>
      <w:lvlJc w:val="left"/>
      <w:pPr>
        <w:ind w:left="1334" w:hanging="360"/>
      </w:pPr>
      <w:rPr>
        <w:rFonts w:hint="default"/>
        <w:lang w:val="fr-FR" w:eastAsia="en-US" w:bidi="ar-SA"/>
      </w:rPr>
    </w:lvl>
    <w:lvl w:ilvl="2" w:tplc="25546CDA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3" w:tplc="593A80FC">
      <w:numFmt w:val="bullet"/>
      <w:lvlText w:val="•"/>
      <w:lvlJc w:val="left"/>
      <w:pPr>
        <w:ind w:left="3363" w:hanging="360"/>
      </w:pPr>
      <w:rPr>
        <w:rFonts w:hint="default"/>
        <w:lang w:val="fr-FR" w:eastAsia="en-US" w:bidi="ar-SA"/>
      </w:rPr>
    </w:lvl>
    <w:lvl w:ilvl="4" w:tplc="A6208CC0">
      <w:numFmt w:val="bullet"/>
      <w:lvlText w:val="•"/>
      <w:lvlJc w:val="left"/>
      <w:pPr>
        <w:ind w:left="4378" w:hanging="360"/>
      </w:pPr>
      <w:rPr>
        <w:rFonts w:hint="default"/>
        <w:lang w:val="fr-FR" w:eastAsia="en-US" w:bidi="ar-SA"/>
      </w:rPr>
    </w:lvl>
    <w:lvl w:ilvl="5" w:tplc="4CBE836C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6" w:tplc="52FCE1AA">
      <w:numFmt w:val="bullet"/>
      <w:lvlText w:val="•"/>
      <w:lvlJc w:val="left"/>
      <w:pPr>
        <w:ind w:left="6407" w:hanging="360"/>
      </w:pPr>
      <w:rPr>
        <w:rFonts w:hint="default"/>
        <w:lang w:val="fr-FR" w:eastAsia="en-US" w:bidi="ar-SA"/>
      </w:rPr>
    </w:lvl>
    <w:lvl w:ilvl="7" w:tplc="F6D4B7DE">
      <w:numFmt w:val="bullet"/>
      <w:lvlText w:val="•"/>
      <w:lvlJc w:val="left"/>
      <w:pPr>
        <w:ind w:left="7422" w:hanging="360"/>
      </w:pPr>
      <w:rPr>
        <w:rFonts w:hint="default"/>
        <w:lang w:val="fr-FR" w:eastAsia="en-US" w:bidi="ar-SA"/>
      </w:rPr>
    </w:lvl>
    <w:lvl w:ilvl="8" w:tplc="44B2CDB0">
      <w:numFmt w:val="bullet"/>
      <w:lvlText w:val="•"/>
      <w:lvlJc w:val="left"/>
      <w:pPr>
        <w:ind w:left="8437" w:hanging="360"/>
      </w:pPr>
      <w:rPr>
        <w:rFonts w:hint="default"/>
        <w:lang w:val="fr-FR" w:eastAsia="en-US" w:bidi="ar-SA"/>
      </w:rPr>
    </w:lvl>
  </w:abstractNum>
  <w:abstractNum w:abstractNumId="1">
    <w:nsid w:val="78616389"/>
    <w:multiLevelType w:val="hybridMultilevel"/>
    <w:tmpl w:val="B934A206"/>
    <w:lvl w:ilvl="0" w:tplc="6E784BD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DB2651C">
      <w:numFmt w:val="bullet"/>
      <w:lvlText w:val="•"/>
      <w:lvlJc w:val="left"/>
      <w:pPr>
        <w:ind w:left="1982" w:hanging="360"/>
      </w:pPr>
      <w:rPr>
        <w:rFonts w:hint="default"/>
        <w:lang w:val="fr-FR" w:eastAsia="en-US" w:bidi="ar-SA"/>
      </w:rPr>
    </w:lvl>
    <w:lvl w:ilvl="2" w:tplc="40CE988C"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 w:tplc="A6C2FCEC">
      <w:numFmt w:val="bullet"/>
      <w:lvlText w:val="•"/>
      <w:lvlJc w:val="left"/>
      <w:pPr>
        <w:ind w:left="3867" w:hanging="360"/>
      </w:pPr>
      <w:rPr>
        <w:rFonts w:hint="default"/>
        <w:lang w:val="fr-FR" w:eastAsia="en-US" w:bidi="ar-SA"/>
      </w:rPr>
    </w:lvl>
    <w:lvl w:ilvl="4" w:tplc="A14C5314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5" w:tplc="858A8F0C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66648F76">
      <w:numFmt w:val="bullet"/>
      <w:lvlText w:val="•"/>
      <w:lvlJc w:val="left"/>
      <w:pPr>
        <w:ind w:left="6695" w:hanging="360"/>
      </w:pPr>
      <w:rPr>
        <w:rFonts w:hint="default"/>
        <w:lang w:val="fr-FR" w:eastAsia="en-US" w:bidi="ar-SA"/>
      </w:rPr>
    </w:lvl>
    <w:lvl w:ilvl="7" w:tplc="33D8720E">
      <w:numFmt w:val="bullet"/>
      <w:lvlText w:val="•"/>
      <w:lvlJc w:val="left"/>
      <w:pPr>
        <w:ind w:left="7638" w:hanging="360"/>
      </w:pPr>
      <w:rPr>
        <w:rFonts w:hint="default"/>
        <w:lang w:val="fr-FR" w:eastAsia="en-US" w:bidi="ar-SA"/>
      </w:rPr>
    </w:lvl>
    <w:lvl w:ilvl="8" w:tplc="1FC8C14A">
      <w:numFmt w:val="bullet"/>
      <w:lvlText w:val="•"/>
      <w:lvlJc w:val="left"/>
      <w:pPr>
        <w:ind w:left="858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7B5F"/>
    <w:rsid w:val="00326206"/>
    <w:rsid w:val="005E5C81"/>
    <w:rsid w:val="00B41347"/>
    <w:rsid w:val="00EE7B5F"/>
    <w:rsid w:val="00EF229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33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character" w:styleId="Textedelespacerserv">
    <w:name w:val="Placeholder Text"/>
    <w:basedOn w:val="Policepardfaut"/>
    <w:uiPriority w:val="99"/>
    <w:semiHidden/>
    <w:rsid w:val="00EF22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297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thana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Distillation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M%C3%A9than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r.wikipedia.org/wiki/Acide_m%C3%A9thano%C3%AFque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c%C3%A9tate_d%27%C3%A9thyl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essences lourdes extraites par le vapocraqueur sont stockées dans un réservoir en béton</vt:lpstr>
    </vt:vector>
  </TitlesOfParts>
  <Company>PERSO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essences lourdes extraites par le vapocraqueur sont stockées dans un réservoir en béton</dc:title>
  <dc:creator>Patrick</dc:creator>
  <cp:lastModifiedBy>Jean-Francois</cp:lastModifiedBy>
  <cp:revision>2</cp:revision>
  <dcterms:created xsi:type="dcterms:W3CDTF">2022-06-30T11:32:00Z</dcterms:created>
  <dcterms:modified xsi:type="dcterms:W3CDTF">2022-06-30T15:12:00Z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