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jpeg" ContentType="image/jpe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14085"/>
        <w:rPr>
          <w:rFonts w:ascii="Times New Roman"/>
          <w:sz w:val="20"/>
        </w:rPr>
      </w:pPr>
      <w:r>
        <w:rPr>
          <w:rFonts w:ascii="Times New Roman"/>
          <w:sz w:val="20"/>
        </w:rPr>
        <w:pict>
          <v:shape style="width:335.25pt;height:75.9pt;mso-position-horizontal-relative:char;mso-position-vertical-relative:line" type="#_x0000_t202" filled="false" stroked="true" strokeweight=".47998pt" strokecolor="#000000">
            <w10:anchorlock/>
            <v:textbox inset="0,0,0,0">
              <w:txbxContent>
                <w:p>
                  <w:pPr>
                    <w:spacing w:before="18"/>
                    <w:ind w:left="722" w:right="722" w:firstLine="0"/>
                    <w:jc w:val="center"/>
                    <w:rPr>
                      <w:b/>
                      <w:sz w:val="40"/>
                    </w:rPr>
                  </w:pPr>
                  <w:r>
                    <w:rPr>
                      <w:b/>
                      <w:sz w:val="40"/>
                    </w:rPr>
                    <w:t>Baccalauréat Professionnel Travaux Publics</w:t>
                  </w:r>
                </w:p>
                <w:p>
                  <w:pPr>
                    <w:spacing w:before="228"/>
                    <w:ind w:left="722" w:right="720" w:firstLine="0"/>
                    <w:jc w:val="center"/>
                    <w:rPr>
                      <w:sz w:val="28"/>
                    </w:rPr>
                  </w:pPr>
                  <w:r>
                    <w:rPr>
                      <w:sz w:val="28"/>
                    </w:rPr>
                    <w:t>Session 2019</w:t>
                  </w:r>
                </w:p>
              </w:txbxContent>
            </v:textbox>
            <v:stroke dashstyle="solid"/>
          </v:shape>
        </w:pict>
      </w:r>
      <w:r>
        <w:rPr>
          <w:rFonts w:ascii="Times New Roman"/>
          <w:sz w:val="20"/>
        </w:rPr>
      </w:r>
    </w:p>
    <w:p>
      <w:pPr>
        <w:pStyle w:val="BodyText"/>
        <w:rPr>
          <w:rFonts w:ascii="Times New Roman"/>
          <w:sz w:val="20"/>
        </w:rPr>
      </w:pPr>
    </w:p>
    <w:p>
      <w:pPr>
        <w:pStyle w:val="BodyText"/>
        <w:spacing w:before="7"/>
        <w:rPr>
          <w:rFonts w:ascii="Times New Roman"/>
          <w:sz w:val="20"/>
        </w:rPr>
      </w:pPr>
      <w:r>
        <w:rPr/>
        <w:pict>
          <v:group style="position:absolute;margin-left:719.22998pt;margin-top:14.590957pt;width:351.8pt;height:64.6pt;mso-position-horizontal-relative:page;mso-position-vertical-relative:paragraph;z-index:-976;mso-wrap-distance-left:0;mso-wrap-distance-right:0" coordorigin="14385,292" coordsize="7036,1292">
            <v:rect style="position:absolute;left:14384;top:291;width:29;height:10" filled="true" fillcolor="#000000" stroked="false">
              <v:fill type="solid"/>
            </v:rect>
            <v:line style="position:absolute" from="14413,297" to="21391,297" stroked="true" strokeweight=".48pt" strokecolor="#000000">
              <v:stroke dashstyle="solid"/>
            </v:line>
            <v:line style="position:absolute" from="14413,316" to="21391,316" stroked="true" strokeweight=".48pt" strokecolor="#000000">
              <v:stroke dashstyle="solid"/>
            </v:line>
            <v:line style="position:absolute" from="14413,1578" to="21391,1578" stroked="true" strokeweight=".48pt" strokecolor="#000000">
              <v:stroke dashstyle="solid"/>
            </v:line>
            <v:line style="position:absolute" from="14413,1559" to="21391,1559" stroked="true" strokeweight=".48pt" strokecolor="#000000">
              <v:stroke dashstyle="solid"/>
            </v:line>
            <v:rect style="position:absolute;left:21391;top:1573;width:29;height:10" filled="true" fillcolor="#000000" stroked="false">
              <v:fill type="solid"/>
            </v:rect>
            <v:line style="position:absolute" from="14389,292" to="14389,1583" stroked="true" strokeweight=".48004pt" strokecolor="#000000">
              <v:stroke dashstyle="solid"/>
            </v:line>
            <v:line style="position:absolute" from="14399,292" to="14399,1583" stroked="true" strokeweight="1.44pt" strokecolor="#000000">
              <v:stroke dashstyle="solid"/>
            </v:line>
            <v:line style="position:absolute" from="21415,292" to="21415,1583" stroked="true" strokeweight=".47998pt" strokecolor="#000000">
              <v:stroke dashstyle="solid"/>
            </v:line>
            <v:line style="position:absolute" from="21406,292" to="21406,1583" stroked="true" strokeweight="1.43998pt" strokecolor="#000000">
              <v:stroke dashstyle="solid"/>
            </v:line>
            <v:shape style="position:absolute;left:14413;top:311;width:6978;height:1253" type="#_x0000_t202" filled="false" stroked="false">
              <v:textbox inset="0,0,0,0">
                <w:txbxContent>
                  <w:p>
                    <w:pPr>
                      <w:spacing w:before="305"/>
                      <w:ind w:left="499" w:right="0" w:firstLine="0"/>
                      <w:jc w:val="left"/>
                      <w:rPr>
                        <w:b/>
                        <w:sz w:val="56"/>
                      </w:rPr>
                    </w:pPr>
                    <w:r>
                      <w:rPr>
                        <w:b/>
                        <w:sz w:val="56"/>
                      </w:rPr>
                      <w:t>DOSSIER TECHNIQUE</w:t>
                    </w:r>
                  </w:p>
                </w:txbxContent>
              </v:textbox>
              <w10:wrap type="none"/>
            </v:shape>
            <w10:wrap type="topAndBottom"/>
          </v:group>
        </w:pict>
      </w:r>
    </w:p>
    <w:p>
      <w:pPr>
        <w:pStyle w:val="BodyText"/>
        <w:rPr>
          <w:rFonts w:ascii="Times New Roman"/>
          <w:sz w:val="20"/>
        </w:rPr>
      </w:pPr>
    </w:p>
    <w:p>
      <w:pPr>
        <w:pStyle w:val="BodyText"/>
        <w:spacing w:before="2"/>
        <w:rPr>
          <w:rFonts w:ascii="Times New Roman"/>
          <w:sz w:val="28"/>
        </w:rPr>
      </w:pPr>
    </w:p>
    <w:p>
      <w:pPr>
        <w:spacing w:after="0"/>
        <w:rPr>
          <w:rFonts w:ascii="Times New Roman"/>
          <w:sz w:val="28"/>
        </w:rPr>
        <w:sectPr>
          <w:footerReference w:type="default" r:id="rId5"/>
          <w:type w:val="continuous"/>
          <w:pgSz w:w="23820" w:h="16850" w:orient="landscape"/>
          <w:pgMar w:footer="1032" w:top="860" w:bottom="1220" w:left="460" w:right="460"/>
        </w:sect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spacing w:before="4"/>
        <w:rPr>
          <w:rFonts w:ascii="Times New Roman"/>
        </w:rPr>
      </w:pPr>
    </w:p>
    <w:p>
      <w:pPr>
        <w:pStyle w:val="BodyText"/>
        <w:ind w:left="1100" w:right="22"/>
      </w:pPr>
      <w:r>
        <w:rPr/>
        <w:pict>
          <v:shape style="position:absolute;margin-left:94.800003pt;margin-top:-449.01413pt;width:404.85pt;height:440.6pt;mso-position-horizontal-relative:page;mso-position-vertical-relative:paragraph;z-index:116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922"/>
                    <w:gridCol w:w="6094"/>
                    <w:gridCol w:w="1065"/>
                  </w:tblGrid>
                  <w:tr>
                    <w:trPr>
                      <w:trHeight w:val="1200" w:hRule="atLeast"/>
                    </w:trPr>
                    <w:tc>
                      <w:tcPr>
                        <w:tcW w:w="8081" w:type="dxa"/>
                        <w:gridSpan w:val="3"/>
                        <w:shd w:val="clear" w:color="auto" w:fill="DFDFDF"/>
                      </w:tcPr>
                      <w:p>
                        <w:pPr>
                          <w:pStyle w:val="TableParagraph"/>
                          <w:spacing w:line="266" w:lineRule="auto" w:before="144"/>
                          <w:ind w:left="1493" w:right="1482"/>
                          <w:jc w:val="center"/>
                          <w:rPr>
                            <w:b/>
                            <w:sz w:val="24"/>
                          </w:rPr>
                        </w:pPr>
                        <w:r>
                          <w:rPr>
                            <w:b/>
                            <w:sz w:val="24"/>
                          </w:rPr>
                          <w:t>SOMMAIRE des pièces écrites et graphiques du Dossier Technique</w:t>
                        </w:r>
                      </w:p>
                      <w:p>
                        <w:pPr>
                          <w:pStyle w:val="TableParagraph"/>
                          <w:spacing w:line="271" w:lineRule="exact" w:before="0"/>
                          <w:ind w:left="1490" w:right="1482"/>
                          <w:jc w:val="center"/>
                          <w:rPr>
                            <w:b/>
                            <w:sz w:val="24"/>
                          </w:rPr>
                        </w:pPr>
                        <w:r>
                          <w:rPr>
                            <w:b/>
                            <w:sz w:val="24"/>
                          </w:rPr>
                          <w:t>commun aux épreuves E.21, E.22 et E.23</w:t>
                        </w:r>
                      </w:p>
                    </w:tc>
                  </w:tr>
                  <w:tr>
                    <w:trPr>
                      <w:trHeight w:val="678" w:hRule="atLeast"/>
                    </w:trPr>
                    <w:tc>
                      <w:tcPr>
                        <w:tcW w:w="922" w:type="dxa"/>
                      </w:tcPr>
                      <w:p>
                        <w:pPr>
                          <w:pStyle w:val="TableParagraph"/>
                          <w:spacing w:before="0"/>
                          <w:rPr>
                            <w:rFonts w:ascii="Times New Roman"/>
                            <w:sz w:val="24"/>
                          </w:rPr>
                        </w:pPr>
                      </w:p>
                    </w:tc>
                    <w:tc>
                      <w:tcPr>
                        <w:tcW w:w="6094" w:type="dxa"/>
                      </w:tcPr>
                      <w:p>
                        <w:pPr>
                          <w:pStyle w:val="TableParagraph"/>
                          <w:numPr>
                            <w:ilvl w:val="0"/>
                            <w:numId w:val="1"/>
                          </w:numPr>
                          <w:tabs>
                            <w:tab w:pos="497" w:val="left" w:leader="none"/>
                          </w:tabs>
                          <w:spacing w:line="240" w:lineRule="auto" w:before="213" w:after="0"/>
                          <w:ind w:left="496" w:right="0" w:hanging="285"/>
                          <w:jc w:val="left"/>
                          <w:rPr>
                            <w:sz w:val="22"/>
                          </w:rPr>
                        </w:pPr>
                        <w:r>
                          <w:rPr>
                            <w:sz w:val="22"/>
                          </w:rPr>
                          <w:t>Page de</w:t>
                        </w:r>
                        <w:r>
                          <w:rPr>
                            <w:spacing w:val="-4"/>
                            <w:sz w:val="22"/>
                          </w:rPr>
                          <w:t> </w:t>
                        </w:r>
                        <w:r>
                          <w:rPr>
                            <w:sz w:val="22"/>
                          </w:rPr>
                          <w:t>garde</w:t>
                        </w:r>
                      </w:p>
                    </w:tc>
                    <w:tc>
                      <w:tcPr>
                        <w:tcW w:w="1065" w:type="dxa"/>
                      </w:tcPr>
                      <w:p>
                        <w:pPr>
                          <w:pStyle w:val="TableParagraph"/>
                          <w:spacing w:before="202"/>
                          <w:ind w:right="285"/>
                          <w:jc w:val="right"/>
                          <w:rPr>
                            <w:sz w:val="24"/>
                          </w:rPr>
                        </w:pPr>
                        <w:r>
                          <w:rPr>
                            <w:sz w:val="24"/>
                          </w:rPr>
                          <w:t>1/11</w:t>
                        </w:r>
                      </w:p>
                    </w:tc>
                  </w:tr>
                  <w:tr>
                    <w:trPr>
                      <w:trHeight w:val="681" w:hRule="atLeast"/>
                    </w:trPr>
                    <w:tc>
                      <w:tcPr>
                        <w:tcW w:w="922" w:type="dxa"/>
                      </w:tcPr>
                      <w:p>
                        <w:pPr>
                          <w:pStyle w:val="TableParagraph"/>
                          <w:spacing w:before="216"/>
                          <w:ind w:left="251"/>
                          <w:rPr>
                            <w:sz w:val="22"/>
                          </w:rPr>
                        </w:pPr>
                        <w:r>
                          <w:rPr>
                            <w:sz w:val="22"/>
                          </w:rPr>
                          <w:t>DT1</w:t>
                        </w:r>
                      </w:p>
                    </w:tc>
                    <w:tc>
                      <w:tcPr>
                        <w:tcW w:w="6094" w:type="dxa"/>
                      </w:tcPr>
                      <w:p>
                        <w:pPr>
                          <w:pStyle w:val="TableParagraph"/>
                          <w:numPr>
                            <w:ilvl w:val="0"/>
                            <w:numId w:val="2"/>
                          </w:numPr>
                          <w:tabs>
                            <w:tab w:pos="497" w:val="left" w:leader="none"/>
                          </w:tabs>
                          <w:spacing w:line="240" w:lineRule="auto" w:before="216" w:after="0"/>
                          <w:ind w:left="496" w:right="0" w:hanging="285"/>
                          <w:jc w:val="left"/>
                          <w:rPr>
                            <w:sz w:val="22"/>
                          </w:rPr>
                        </w:pPr>
                        <w:r>
                          <w:rPr>
                            <w:sz w:val="22"/>
                          </w:rPr>
                          <w:t>Plan de situation et consistance des</w:t>
                        </w:r>
                        <w:r>
                          <w:rPr>
                            <w:spacing w:val="-7"/>
                            <w:sz w:val="22"/>
                          </w:rPr>
                          <w:t> </w:t>
                        </w:r>
                        <w:r>
                          <w:rPr>
                            <w:sz w:val="22"/>
                          </w:rPr>
                          <w:t>travaux</w:t>
                        </w:r>
                      </w:p>
                    </w:tc>
                    <w:tc>
                      <w:tcPr>
                        <w:tcW w:w="1065" w:type="dxa"/>
                      </w:tcPr>
                      <w:p>
                        <w:pPr>
                          <w:pStyle w:val="TableParagraph"/>
                          <w:spacing w:before="204"/>
                          <w:ind w:right="285"/>
                          <w:jc w:val="right"/>
                          <w:rPr>
                            <w:sz w:val="24"/>
                          </w:rPr>
                        </w:pPr>
                        <w:r>
                          <w:rPr>
                            <w:sz w:val="24"/>
                          </w:rPr>
                          <w:t>2/11</w:t>
                        </w:r>
                      </w:p>
                    </w:tc>
                  </w:tr>
                  <w:tr>
                    <w:trPr>
                      <w:trHeight w:val="678" w:hRule="atLeast"/>
                    </w:trPr>
                    <w:tc>
                      <w:tcPr>
                        <w:tcW w:w="922" w:type="dxa"/>
                      </w:tcPr>
                      <w:p>
                        <w:pPr>
                          <w:pStyle w:val="TableParagraph"/>
                          <w:ind w:left="251"/>
                          <w:rPr>
                            <w:sz w:val="22"/>
                          </w:rPr>
                        </w:pPr>
                        <w:r>
                          <w:rPr>
                            <w:sz w:val="22"/>
                          </w:rPr>
                          <w:t>DT2</w:t>
                        </w:r>
                      </w:p>
                    </w:tc>
                    <w:tc>
                      <w:tcPr>
                        <w:tcW w:w="6094" w:type="dxa"/>
                      </w:tcPr>
                      <w:p>
                        <w:pPr>
                          <w:pStyle w:val="TableParagraph"/>
                          <w:numPr>
                            <w:ilvl w:val="0"/>
                            <w:numId w:val="3"/>
                          </w:numPr>
                          <w:tabs>
                            <w:tab w:pos="497" w:val="left" w:leader="none"/>
                          </w:tabs>
                          <w:spacing w:line="240" w:lineRule="auto" w:before="213" w:after="0"/>
                          <w:ind w:left="496" w:right="0" w:hanging="285"/>
                          <w:jc w:val="left"/>
                          <w:rPr>
                            <w:sz w:val="22"/>
                          </w:rPr>
                        </w:pPr>
                        <w:r>
                          <w:rPr>
                            <w:sz w:val="22"/>
                          </w:rPr>
                          <w:t>Plan du</w:t>
                        </w:r>
                        <w:r>
                          <w:rPr>
                            <w:spacing w:val="-1"/>
                            <w:sz w:val="22"/>
                          </w:rPr>
                          <w:t> </w:t>
                        </w:r>
                        <w:r>
                          <w:rPr>
                            <w:sz w:val="22"/>
                          </w:rPr>
                          <w:t>projet</w:t>
                        </w:r>
                      </w:p>
                    </w:tc>
                    <w:tc>
                      <w:tcPr>
                        <w:tcW w:w="1065" w:type="dxa"/>
                      </w:tcPr>
                      <w:p>
                        <w:pPr>
                          <w:pStyle w:val="TableParagraph"/>
                          <w:spacing w:before="202"/>
                          <w:ind w:right="285"/>
                          <w:jc w:val="right"/>
                          <w:rPr>
                            <w:sz w:val="24"/>
                          </w:rPr>
                        </w:pPr>
                        <w:r>
                          <w:rPr>
                            <w:sz w:val="24"/>
                          </w:rPr>
                          <w:t>3/11</w:t>
                        </w:r>
                      </w:p>
                    </w:tc>
                  </w:tr>
                  <w:tr>
                    <w:trPr>
                      <w:trHeight w:val="681" w:hRule="atLeast"/>
                    </w:trPr>
                    <w:tc>
                      <w:tcPr>
                        <w:tcW w:w="922" w:type="dxa"/>
                      </w:tcPr>
                      <w:p>
                        <w:pPr>
                          <w:pStyle w:val="TableParagraph"/>
                          <w:spacing w:before="216"/>
                          <w:ind w:left="251"/>
                          <w:rPr>
                            <w:sz w:val="22"/>
                          </w:rPr>
                        </w:pPr>
                        <w:r>
                          <w:rPr>
                            <w:sz w:val="22"/>
                          </w:rPr>
                          <w:t>DT3</w:t>
                        </w:r>
                      </w:p>
                    </w:tc>
                    <w:tc>
                      <w:tcPr>
                        <w:tcW w:w="6094" w:type="dxa"/>
                      </w:tcPr>
                      <w:p>
                        <w:pPr>
                          <w:pStyle w:val="TableParagraph"/>
                          <w:numPr>
                            <w:ilvl w:val="0"/>
                            <w:numId w:val="4"/>
                          </w:numPr>
                          <w:tabs>
                            <w:tab w:pos="497" w:val="left" w:leader="none"/>
                          </w:tabs>
                          <w:spacing w:line="240" w:lineRule="auto" w:before="216" w:after="0"/>
                          <w:ind w:left="496" w:right="0" w:hanging="285"/>
                          <w:jc w:val="left"/>
                          <w:rPr>
                            <w:sz w:val="22"/>
                          </w:rPr>
                        </w:pPr>
                        <w:r>
                          <w:rPr>
                            <w:sz w:val="22"/>
                          </w:rPr>
                          <w:t>Extrait du</w:t>
                        </w:r>
                        <w:r>
                          <w:rPr>
                            <w:spacing w:val="1"/>
                            <w:sz w:val="22"/>
                          </w:rPr>
                          <w:t> </w:t>
                        </w:r>
                        <w:r>
                          <w:rPr>
                            <w:sz w:val="22"/>
                          </w:rPr>
                          <w:t>CCTP</w:t>
                        </w:r>
                      </w:p>
                    </w:tc>
                    <w:tc>
                      <w:tcPr>
                        <w:tcW w:w="1065" w:type="dxa"/>
                      </w:tcPr>
                      <w:p>
                        <w:pPr>
                          <w:pStyle w:val="TableParagraph"/>
                          <w:spacing w:before="204"/>
                          <w:ind w:right="285"/>
                          <w:jc w:val="right"/>
                          <w:rPr>
                            <w:sz w:val="24"/>
                          </w:rPr>
                        </w:pPr>
                        <w:r>
                          <w:rPr>
                            <w:sz w:val="24"/>
                          </w:rPr>
                          <w:t>4/11</w:t>
                        </w:r>
                      </w:p>
                    </w:tc>
                  </w:tr>
                  <w:tr>
                    <w:trPr>
                      <w:trHeight w:val="679" w:hRule="atLeast"/>
                    </w:trPr>
                    <w:tc>
                      <w:tcPr>
                        <w:tcW w:w="922" w:type="dxa"/>
                      </w:tcPr>
                      <w:p>
                        <w:pPr>
                          <w:pStyle w:val="TableParagraph"/>
                          <w:spacing w:before="214"/>
                          <w:ind w:left="251"/>
                          <w:rPr>
                            <w:sz w:val="22"/>
                          </w:rPr>
                        </w:pPr>
                        <w:r>
                          <w:rPr>
                            <w:sz w:val="22"/>
                          </w:rPr>
                          <w:t>DT4</w:t>
                        </w:r>
                      </w:p>
                    </w:tc>
                    <w:tc>
                      <w:tcPr>
                        <w:tcW w:w="6094" w:type="dxa"/>
                      </w:tcPr>
                      <w:p>
                        <w:pPr>
                          <w:pStyle w:val="TableParagraph"/>
                          <w:numPr>
                            <w:ilvl w:val="0"/>
                            <w:numId w:val="5"/>
                          </w:numPr>
                          <w:tabs>
                            <w:tab w:pos="497" w:val="left" w:leader="none"/>
                          </w:tabs>
                          <w:spacing w:line="240" w:lineRule="auto" w:before="214" w:after="0"/>
                          <w:ind w:left="496" w:right="0" w:hanging="285"/>
                          <w:jc w:val="left"/>
                          <w:rPr>
                            <w:sz w:val="22"/>
                          </w:rPr>
                        </w:pPr>
                        <w:r>
                          <w:rPr>
                            <w:sz w:val="22"/>
                          </w:rPr>
                          <w:t>Extrait du</w:t>
                        </w:r>
                        <w:r>
                          <w:rPr>
                            <w:spacing w:val="1"/>
                            <w:sz w:val="22"/>
                          </w:rPr>
                          <w:t> </w:t>
                        </w:r>
                        <w:r>
                          <w:rPr>
                            <w:sz w:val="22"/>
                          </w:rPr>
                          <w:t>CCTP</w:t>
                        </w:r>
                      </w:p>
                    </w:tc>
                    <w:tc>
                      <w:tcPr>
                        <w:tcW w:w="1065" w:type="dxa"/>
                      </w:tcPr>
                      <w:p>
                        <w:pPr>
                          <w:pStyle w:val="TableParagraph"/>
                          <w:spacing w:before="202"/>
                          <w:ind w:right="285"/>
                          <w:jc w:val="right"/>
                          <w:rPr>
                            <w:sz w:val="24"/>
                          </w:rPr>
                        </w:pPr>
                        <w:r>
                          <w:rPr>
                            <w:sz w:val="24"/>
                          </w:rPr>
                          <w:t>5/11</w:t>
                        </w:r>
                      </w:p>
                    </w:tc>
                  </w:tr>
                  <w:tr>
                    <w:trPr>
                      <w:trHeight w:val="681" w:hRule="atLeast"/>
                    </w:trPr>
                    <w:tc>
                      <w:tcPr>
                        <w:tcW w:w="922" w:type="dxa"/>
                      </w:tcPr>
                      <w:p>
                        <w:pPr>
                          <w:pStyle w:val="TableParagraph"/>
                          <w:spacing w:before="216"/>
                          <w:ind w:left="251"/>
                          <w:rPr>
                            <w:sz w:val="22"/>
                          </w:rPr>
                        </w:pPr>
                        <w:r>
                          <w:rPr>
                            <w:sz w:val="22"/>
                          </w:rPr>
                          <w:t>DT5</w:t>
                        </w:r>
                      </w:p>
                    </w:tc>
                    <w:tc>
                      <w:tcPr>
                        <w:tcW w:w="6094" w:type="dxa"/>
                      </w:tcPr>
                      <w:p>
                        <w:pPr>
                          <w:pStyle w:val="TableParagraph"/>
                          <w:numPr>
                            <w:ilvl w:val="0"/>
                            <w:numId w:val="6"/>
                          </w:numPr>
                          <w:tabs>
                            <w:tab w:pos="497" w:val="left" w:leader="none"/>
                          </w:tabs>
                          <w:spacing w:line="240" w:lineRule="auto" w:before="216" w:after="0"/>
                          <w:ind w:left="496" w:right="0" w:hanging="285"/>
                          <w:jc w:val="left"/>
                          <w:rPr>
                            <w:sz w:val="22"/>
                          </w:rPr>
                        </w:pPr>
                        <w:r>
                          <w:rPr>
                            <w:sz w:val="22"/>
                          </w:rPr>
                          <w:t>Extrait du</w:t>
                        </w:r>
                        <w:r>
                          <w:rPr>
                            <w:spacing w:val="1"/>
                            <w:sz w:val="22"/>
                          </w:rPr>
                          <w:t> </w:t>
                        </w:r>
                        <w:r>
                          <w:rPr>
                            <w:sz w:val="22"/>
                          </w:rPr>
                          <w:t>CCTP</w:t>
                        </w:r>
                      </w:p>
                    </w:tc>
                    <w:tc>
                      <w:tcPr>
                        <w:tcW w:w="1065" w:type="dxa"/>
                      </w:tcPr>
                      <w:p>
                        <w:pPr>
                          <w:pStyle w:val="TableParagraph"/>
                          <w:spacing w:before="204"/>
                          <w:ind w:right="285"/>
                          <w:jc w:val="right"/>
                          <w:rPr>
                            <w:sz w:val="24"/>
                          </w:rPr>
                        </w:pPr>
                        <w:r>
                          <w:rPr>
                            <w:sz w:val="24"/>
                          </w:rPr>
                          <w:t>6/11</w:t>
                        </w:r>
                      </w:p>
                    </w:tc>
                  </w:tr>
                  <w:tr>
                    <w:trPr>
                      <w:trHeight w:val="678" w:hRule="atLeast"/>
                    </w:trPr>
                    <w:tc>
                      <w:tcPr>
                        <w:tcW w:w="922" w:type="dxa"/>
                      </w:tcPr>
                      <w:p>
                        <w:pPr>
                          <w:pStyle w:val="TableParagraph"/>
                          <w:ind w:left="251"/>
                          <w:rPr>
                            <w:sz w:val="22"/>
                          </w:rPr>
                        </w:pPr>
                        <w:r>
                          <w:rPr>
                            <w:sz w:val="22"/>
                          </w:rPr>
                          <w:t>DT6</w:t>
                        </w:r>
                      </w:p>
                    </w:tc>
                    <w:tc>
                      <w:tcPr>
                        <w:tcW w:w="6094" w:type="dxa"/>
                      </w:tcPr>
                      <w:p>
                        <w:pPr>
                          <w:pStyle w:val="TableParagraph"/>
                          <w:numPr>
                            <w:ilvl w:val="0"/>
                            <w:numId w:val="7"/>
                          </w:numPr>
                          <w:tabs>
                            <w:tab w:pos="497" w:val="left" w:leader="none"/>
                          </w:tabs>
                          <w:spacing w:line="240" w:lineRule="auto" w:before="213" w:after="0"/>
                          <w:ind w:left="496" w:right="0" w:hanging="285"/>
                          <w:jc w:val="left"/>
                          <w:rPr>
                            <w:sz w:val="22"/>
                          </w:rPr>
                        </w:pPr>
                        <w:r>
                          <w:rPr>
                            <w:sz w:val="22"/>
                          </w:rPr>
                          <w:t>Fiche technique poste de</w:t>
                        </w:r>
                        <w:r>
                          <w:rPr>
                            <w:spacing w:val="-3"/>
                            <w:sz w:val="22"/>
                          </w:rPr>
                          <w:t> </w:t>
                        </w:r>
                        <w:r>
                          <w:rPr>
                            <w:sz w:val="22"/>
                          </w:rPr>
                          <w:t>relevage</w:t>
                        </w:r>
                      </w:p>
                    </w:tc>
                    <w:tc>
                      <w:tcPr>
                        <w:tcW w:w="1065" w:type="dxa"/>
                      </w:tcPr>
                      <w:p>
                        <w:pPr>
                          <w:pStyle w:val="TableParagraph"/>
                          <w:spacing w:before="202"/>
                          <w:ind w:right="285"/>
                          <w:jc w:val="right"/>
                          <w:rPr>
                            <w:sz w:val="24"/>
                          </w:rPr>
                        </w:pPr>
                        <w:r>
                          <w:rPr>
                            <w:sz w:val="24"/>
                          </w:rPr>
                          <w:t>7/11</w:t>
                        </w:r>
                      </w:p>
                    </w:tc>
                  </w:tr>
                  <w:tr>
                    <w:trPr>
                      <w:trHeight w:val="681" w:hRule="atLeast"/>
                    </w:trPr>
                    <w:tc>
                      <w:tcPr>
                        <w:tcW w:w="922" w:type="dxa"/>
                      </w:tcPr>
                      <w:p>
                        <w:pPr>
                          <w:pStyle w:val="TableParagraph"/>
                          <w:spacing w:before="216"/>
                          <w:ind w:left="251"/>
                          <w:rPr>
                            <w:sz w:val="22"/>
                          </w:rPr>
                        </w:pPr>
                        <w:r>
                          <w:rPr>
                            <w:sz w:val="22"/>
                          </w:rPr>
                          <w:t>DT7</w:t>
                        </w:r>
                      </w:p>
                    </w:tc>
                    <w:tc>
                      <w:tcPr>
                        <w:tcW w:w="6094" w:type="dxa"/>
                      </w:tcPr>
                      <w:p>
                        <w:pPr>
                          <w:pStyle w:val="TableParagraph"/>
                          <w:numPr>
                            <w:ilvl w:val="0"/>
                            <w:numId w:val="8"/>
                          </w:numPr>
                          <w:tabs>
                            <w:tab w:pos="497" w:val="left" w:leader="none"/>
                          </w:tabs>
                          <w:spacing w:line="240" w:lineRule="auto" w:before="216" w:after="0"/>
                          <w:ind w:left="496" w:right="0" w:hanging="285"/>
                          <w:jc w:val="left"/>
                          <w:rPr>
                            <w:sz w:val="22"/>
                          </w:rPr>
                        </w:pPr>
                        <w:r>
                          <w:rPr>
                            <w:sz w:val="22"/>
                          </w:rPr>
                          <w:t>Fiche technique mur de</w:t>
                        </w:r>
                        <w:r>
                          <w:rPr>
                            <w:spacing w:val="-9"/>
                            <w:sz w:val="22"/>
                          </w:rPr>
                          <w:t> </w:t>
                        </w:r>
                        <w:r>
                          <w:rPr>
                            <w:sz w:val="22"/>
                          </w:rPr>
                          <w:t>soutènement</w:t>
                        </w:r>
                      </w:p>
                    </w:tc>
                    <w:tc>
                      <w:tcPr>
                        <w:tcW w:w="1065" w:type="dxa"/>
                      </w:tcPr>
                      <w:p>
                        <w:pPr>
                          <w:pStyle w:val="TableParagraph"/>
                          <w:spacing w:before="204"/>
                          <w:ind w:right="285"/>
                          <w:jc w:val="right"/>
                          <w:rPr>
                            <w:sz w:val="24"/>
                          </w:rPr>
                        </w:pPr>
                        <w:r>
                          <w:rPr>
                            <w:sz w:val="24"/>
                          </w:rPr>
                          <w:t>8/11</w:t>
                        </w:r>
                      </w:p>
                    </w:tc>
                  </w:tr>
                  <w:tr>
                    <w:trPr>
                      <w:trHeight w:val="678" w:hRule="atLeast"/>
                    </w:trPr>
                    <w:tc>
                      <w:tcPr>
                        <w:tcW w:w="922" w:type="dxa"/>
                      </w:tcPr>
                      <w:p>
                        <w:pPr>
                          <w:pStyle w:val="TableParagraph"/>
                          <w:ind w:left="251"/>
                          <w:rPr>
                            <w:sz w:val="22"/>
                          </w:rPr>
                        </w:pPr>
                        <w:r>
                          <w:rPr>
                            <w:sz w:val="22"/>
                          </w:rPr>
                          <w:t>DT8</w:t>
                        </w:r>
                      </w:p>
                    </w:tc>
                    <w:tc>
                      <w:tcPr>
                        <w:tcW w:w="6094" w:type="dxa"/>
                      </w:tcPr>
                      <w:p>
                        <w:pPr>
                          <w:pStyle w:val="TableParagraph"/>
                          <w:numPr>
                            <w:ilvl w:val="0"/>
                            <w:numId w:val="9"/>
                          </w:numPr>
                          <w:tabs>
                            <w:tab w:pos="497" w:val="left" w:leader="none"/>
                          </w:tabs>
                          <w:spacing w:line="240" w:lineRule="auto" w:before="213" w:after="0"/>
                          <w:ind w:left="496" w:right="0" w:hanging="285"/>
                          <w:jc w:val="left"/>
                          <w:rPr>
                            <w:sz w:val="22"/>
                          </w:rPr>
                        </w:pPr>
                        <w:r>
                          <w:rPr>
                            <w:sz w:val="22"/>
                          </w:rPr>
                          <w:t>Fiche technique mur de</w:t>
                        </w:r>
                        <w:r>
                          <w:rPr>
                            <w:spacing w:val="-9"/>
                            <w:sz w:val="22"/>
                          </w:rPr>
                          <w:t> </w:t>
                        </w:r>
                        <w:r>
                          <w:rPr>
                            <w:sz w:val="22"/>
                          </w:rPr>
                          <w:t>soutènement</w:t>
                        </w:r>
                      </w:p>
                    </w:tc>
                    <w:tc>
                      <w:tcPr>
                        <w:tcW w:w="1065" w:type="dxa"/>
                      </w:tcPr>
                      <w:p>
                        <w:pPr>
                          <w:pStyle w:val="TableParagraph"/>
                          <w:spacing w:before="202"/>
                          <w:ind w:right="285"/>
                          <w:jc w:val="right"/>
                          <w:rPr>
                            <w:sz w:val="24"/>
                          </w:rPr>
                        </w:pPr>
                        <w:r>
                          <w:rPr>
                            <w:sz w:val="24"/>
                          </w:rPr>
                          <w:t>9/11</w:t>
                        </w:r>
                      </w:p>
                    </w:tc>
                  </w:tr>
                  <w:tr>
                    <w:trPr>
                      <w:trHeight w:val="681" w:hRule="atLeast"/>
                    </w:trPr>
                    <w:tc>
                      <w:tcPr>
                        <w:tcW w:w="922" w:type="dxa"/>
                      </w:tcPr>
                      <w:p>
                        <w:pPr>
                          <w:pStyle w:val="TableParagraph"/>
                          <w:spacing w:before="9"/>
                          <w:rPr>
                            <w:sz w:val="18"/>
                          </w:rPr>
                        </w:pPr>
                      </w:p>
                      <w:p>
                        <w:pPr>
                          <w:pStyle w:val="TableParagraph"/>
                          <w:spacing w:before="0"/>
                          <w:ind w:left="251"/>
                          <w:rPr>
                            <w:sz w:val="22"/>
                          </w:rPr>
                        </w:pPr>
                        <w:r>
                          <w:rPr>
                            <w:sz w:val="22"/>
                          </w:rPr>
                          <w:t>DT9</w:t>
                        </w:r>
                      </w:p>
                    </w:tc>
                    <w:tc>
                      <w:tcPr>
                        <w:tcW w:w="6094" w:type="dxa"/>
                      </w:tcPr>
                      <w:p>
                        <w:pPr>
                          <w:pStyle w:val="TableParagraph"/>
                          <w:spacing w:before="9"/>
                          <w:rPr>
                            <w:sz w:val="18"/>
                          </w:rPr>
                        </w:pPr>
                      </w:p>
                      <w:p>
                        <w:pPr>
                          <w:pStyle w:val="TableParagraph"/>
                          <w:numPr>
                            <w:ilvl w:val="0"/>
                            <w:numId w:val="10"/>
                          </w:numPr>
                          <w:tabs>
                            <w:tab w:pos="497" w:val="left" w:leader="none"/>
                          </w:tabs>
                          <w:spacing w:line="240" w:lineRule="auto" w:before="0" w:after="0"/>
                          <w:ind w:left="496" w:right="0" w:hanging="285"/>
                          <w:jc w:val="left"/>
                          <w:rPr>
                            <w:sz w:val="22"/>
                          </w:rPr>
                        </w:pPr>
                        <w:r>
                          <w:rPr>
                            <w:sz w:val="22"/>
                          </w:rPr>
                          <w:t>Fiche technique mur de</w:t>
                        </w:r>
                        <w:r>
                          <w:rPr>
                            <w:spacing w:val="-9"/>
                            <w:sz w:val="22"/>
                          </w:rPr>
                          <w:t> </w:t>
                        </w:r>
                        <w:r>
                          <w:rPr>
                            <w:sz w:val="22"/>
                          </w:rPr>
                          <w:t>soutènement</w:t>
                        </w:r>
                      </w:p>
                    </w:tc>
                    <w:tc>
                      <w:tcPr>
                        <w:tcW w:w="1065" w:type="dxa"/>
                      </w:tcPr>
                      <w:p>
                        <w:pPr>
                          <w:pStyle w:val="TableParagraph"/>
                          <w:spacing w:before="204"/>
                          <w:ind w:right="221"/>
                          <w:jc w:val="right"/>
                          <w:rPr>
                            <w:sz w:val="24"/>
                          </w:rPr>
                        </w:pPr>
                        <w:r>
                          <w:rPr>
                            <w:sz w:val="24"/>
                          </w:rPr>
                          <w:t>10/11</w:t>
                        </w:r>
                      </w:p>
                    </w:tc>
                  </w:tr>
                  <w:tr>
                    <w:trPr>
                      <w:trHeight w:val="681" w:hRule="atLeast"/>
                    </w:trPr>
                    <w:tc>
                      <w:tcPr>
                        <w:tcW w:w="922" w:type="dxa"/>
                      </w:tcPr>
                      <w:p>
                        <w:pPr>
                          <w:pStyle w:val="TableParagraph"/>
                          <w:ind w:left="189"/>
                          <w:rPr>
                            <w:sz w:val="22"/>
                          </w:rPr>
                        </w:pPr>
                        <w:r>
                          <w:rPr>
                            <w:sz w:val="22"/>
                          </w:rPr>
                          <w:t>DT10</w:t>
                        </w:r>
                      </w:p>
                    </w:tc>
                    <w:tc>
                      <w:tcPr>
                        <w:tcW w:w="6094" w:type="dxa"/>
                      </w:tcPr>
                      <w:p>
                        <w:pPr>
                          <w:pStyle w:val="TableParagraph"/>
                          <w:numPr>
                            <w:ilvl w:val="0"/>
                            <w:numId w:val="11"/>
                          </w:numPr>
                          <w:tabs>
                            <w:tab w:pos="497" w:val="left" w:leader="none"/>
                          </w:tabs>
                          <w:spacing w:line="240" w:lineRule="auto" w:before="213" w:after="0"/>
                          <w:ind w:left="496" w:right="0" w:hanging="285"/>
                          <w:jc w:val="left"/>
                          <w:rPr>
                            <w:sz w:val="22"/>
                          </w:rPr>
                        </w:pPr>
                        <w:r>
                          <w:rPr>
                            <w:sz w:val="22"/>
                          </w:rPr>
                          <w:t>Carte hors</w:t>
                        </w:r>
                        <w:r>
                          <w:rPr>
                            <w:spacing w:val="-4"/>
                            <w:sz w:val="22"/>
                          </w:rPr>
                          <w:t> </w:t>
                        </w:r>
                        <w:r>
                          <w:rPr>
                            <w:sz w:val="22"/>
                          </w:rPr>
                          <w:t>gel</w:t>
                        </w:r>
                      </w:p>
                    </w:tc>
                    <w:tc>
                      <w:tcPr>
                        <w:tcW w:w="1065" w:type="dxa"/>
                      </w:tcPr>
                      <w:p>
                        <w:pPr>
                          <w:pStyle w:val="TableParagraph"/>
                          <w:spacing w:before="202"/>
                          <w:ind w:right="221"/>
                          <w:jc w:val="right"/>
                          <w:rPr>
                            <w:sz w:val="24"/>
                          </w:rPr>
                        </w:pPr>
                        <w:r>
                          <w:rPr>
                            <w:sz w:val="24"/>
                          </w:rPr>
                          <w:t>11/11</w:t>
                        </w:r>
                      </w:p>
                    </w:tc>
                  </w:tr>
                </w:tbl>
                <w:p>
                  <w:pPr>
                    <w:pStyle w:val="BodyText"/>
                  </w:pPr>
                </w:p>
              </w:txbxContent>
            </v:textbox>
            <w10:wrap type="none"/>
          </v:shape>
        </w:pict>
      </w:r>
      <w:r>
        <w:rPr/>
        <w:t>Ce dossier, commun aux trois sous-épreuves E.21, E.22 et E.23, sera étudié par le candidat durant </w:t>
      </w:r>
      <w:r>
        <w:rPr>
          <w:u w:val="single"/>
        </w:rPr>
        <w:t>une heure</w:t>
      </w:r>
      <w:r>
        <w:rPr/>
        <w:t>.</w:t>
      </w:r>
    </w:p>
    <w:p>
      <w:pPr>
        <w:spacing w:before="92"/>
        <w:ind w:left="3046" w:right="447" w:hanging="1659"/>
        <w:jc w:val="left"/>
        <w:rPr>
          <w:b/>
          <w:sz w:val="28"/>
        </w:rPr>
      </w:pPr>
      <w:r>
        <w:rPr/>
        <w:br w:type="column"/>
      </w:r>
      <w:r>
        <w:rPr>
          <w:b/>
          <w:sz w:val="28"/>
        </w:rPr>
        <w:t>Création d’une station d’épuration des eaux usées du Lieu-dit le Plessis aux Moines sur la commune de Beaulieu sous la Roche</w:t>
      </w:r>
    </w:p>
    <w:p>
      <w:pPr>
        <w:spacing w:before="4"/>
        <w:ind w:left="1100" w:right="0" w:firstLine="0"/>
        <w:jc w:val="left"/>
        <w:rPr>
          <w:i/>
          <w:sz w:val="24"/>
        </w:rPr>
      </w:pPr>
      <w:r>
        <w:rPr>
          <w:i/>
          <w:sz w:val="24"/>
        </w:rPr>
        <w:t>Le dossier technique est extrait du projet de réalisation d’une station d’épuration dans un village de </w:t>
      </w:r>
      <w:r>
        <w:rPr>
          <w:i/>
          <w:sz w:val="24"/>
        </w:rPr>
        <w:t>plus de 100 habitants.</w:t>
      </w:r>
    </w:p>
    <w:p>
      <w:pPr>
        <w:spacing w:before="0"/>
        <w:ind w:left="1100" w:right="0" w:firstLine="0"/>
        <w:jc w:val="left"/>
        <w:rPr>
          <w:i/>
          <w:sz w:val="24"/>
        </w:rPr>
      </w:pPr>
      <w:r>
        <w:rPr>
          <w:i/>
          <w:sz w:val="24"/>
        </w:rPr>
        <w:t>La partie étudiée concerne la réalisation de la station d’épuration.</w:t>
      </w:r>
    </w:p>
    <w:p>
      <w:pPr>
        <w:spacing w:after="0"/>
        <w:jc w:val="left"/>
        <w:rPr>
          <w:sz w:val="24"/>
        </w:rPr>
        <w:sectPr>
          <w:type w:val="continuous"/>
          <w:pgSz w:w="23820" w:h="16850" w:orient="landscape"/>
          <w:pgMar w:top="860" w:bottom="1220" w:left="460" w:right="460"/>
          <w:cols w:num="2" w:equalWidth="0">
            <w:col w:w="9293" w:space="1623"/>
            <w:col w:w="11984"/>
          </w:cols>
        </w:sectPr>
      </w:pPr>
    </w:p>
    <w:p>
      <w:pPr>
        <w:pStyle w:val="BodyText"/>
        <w:rPr>
          <w:i/>
          <w:sz w:val="16"/>
        </w:rPr>
      </w:pPr>
    </w:p>
    <w:p>
      <w:pPr>
        <w:pStyle w:val="BodyText"/>
        <w:spacing w:before="92"/>
        <w:ind w:left="1100" w:right="14389"/>
      </w:pPr>
      <w:r>
        <w:rPr/>
        <w:pict>
          <v:group style="position:absolute;margin-left:628.974976pt;margin-top:-215.019119pt;width:514.75pt;height:324.75pt;mso-position-horizontal-relative:page;mso-position-vertical-relative:paragraph;z-index:1144" coordorigin="12579,-4300" coordsize="10295,6495">
            <v:rect style="position:absolute;left:12587;top:-4293;width:10280;height:6480" filled="false" stroked="true" strokeweight=".75pt" strokecolor="#000000">
              <v:stroke dashstyle="solid"/>
            </v:rect>
            <v:shape style="position:absolute;left:12742;top:-4213;width:9969;height:6343" type="#_x0000_t75" stroked="false">
              <v:imagedata r:id="rId6" o:title=""/>
            </v:shape>
            <w10:wrap type="none"/>
          </v:group>
        </w:pict>
      </w:r>
      <w:r>
        <w:rPr/>
        <w:t>Il sera remis au surveillant de salle à la fin de chacune des trois sous- épreuves E.21, E.22 et E.23.</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1"/>
        </w:rPr>
      </w:pPr>
      <w:r>
        <w:rPr/>
        <w:pict>
          <v:group style="position:absolute;margin-left:698.950012pt;margin-top:9.548379pt;width:397.75pt;height:69.75pt;mso-position-horizontal-relative:page;mso-position-vertical-relative:paragraph;z-index:-928;mso-wrap-distance-left:0;mso-wrap-distance-right:0" coordorigin="13979,191" coordsize="7955,1395">
            <v:line style="position:absolute" from="14008,205" to="21876,205" stroked="true" strokeweight="1.44pt" strokecolor="#000000">
              <v:stroke dashstyle="solid"/>
            </v:line>
            <v:line style="position:absolute" from="21919,220" to="21919,875" stroked="true" strokeweight="1.4401pt" strokecolor="#000000">
              <v:stroke dashstyle="solid"/>
            </v:line>
            <v:rect style="position:absolute;left:14007;top:1556;width:7869;height:29" filled="true" fillcolor="#000000" stroked="false">
              <v:fill type="solid"/>
            </v:rect>
            <v:rect style="position:absolute;left:14007;top:1527;width:7869;height:29" filled="true" fillcolor="#000000" stroked="false">
              <v:fill type="solid"/>
            </v:rect>
            <v:rect style="position:absolute;left:21876;top:1556;width:58;height:29" filled="true" fillcolor="#000000" stroked="false">
              <v:fill type="solid"/>
            </v:rect>
            <v:line style="position:absolute" from="13993,191" to="13993,1556" stroked="true" strokeweight="1.44pt" strokecolor="#000000">
              <v:stroke dashstyle="solid"/>
            </v:line>
            <v:line style="position:absolute" from="21919,875" to="21919,1585" stroked="true" strokeweight="1.4401pt" strokecolor="#000000">
              <v:stroke dashstyle="solid"/>
            </v:line>
            <v:line style="position:absolute" from="21890,191" to="21890,1556" stroked="true" strokeweight="1.4399pt" strokecolor="#000000">
              <v:stroke dashstyle="solid"/>
            </v:line>
            <v:shape style="position:absolute;left:14007;top:219;width:7854;height:1308" type="#_x0000_t202" filled="false" stroked="false">
              <v:textbox inset="0,0,0,0">
                <w:txbxContent>
                  <w:p>
                    <w:pPr>
                      <w:spacing w:line="240" w:lineRule="auto" w:before="10"/>
                      <w:rPr>
                        <w:sz w:val="20"/>
                      </w:rPr>
                    </w:pPr>
                  </w:p>
                  <w:p>
                    <w:pPr>
                      <w:spacing w:before="0"/>
                      <w:ind w:left="578" w:right="0" w:firstLine="0"/>
                      <w:jc w:val="left"/>
                      <w:rPr>
                        <w:sz w:val="24"/>
                      </w:rPr>
                    </w:pPr>
                    <w:r>
                      <w:rPr>
                        <w:sz w:val="24"/>
                      </w:rPr>
                      <w:t>NOM et Prénom du candidat : ……………………..……………..</w:t>
                    </w:r>
                  </w:p>
                  <w:p>
                    <w:pPr>
                      <w:spacing w:before="139"/>
                      <w:ind w:left="1039" w:right="0" w:firstLine="0"/>
                      <w:jc w:val="left"/>
                      <w:rPr>
                        <w:sz w:val="24"/>
                      </w:rPr>
                    </w:pPr>
                    <w:r>
                      <w:rPr>
                        <w:sz w:val="24"/>
                      </w:rPr>
                      <w:t>N° d’inscription : ………………………………………….</w:t>
                    </w:r>
                  </w:p>
                </w:txbxContent>
              </v:textbox>
              <w10:wrap type="none"/>
            </v:shape>
            <w10:wrap type="topAndBottom"/>
          </v:group>
        </w:pict>
      </w:r>
    </w:p>
    <w:p>
      <w:pPr>
        <w:spacing w:after="0"/>
        <w:rPr>
          <w:sz w:val="11"/>
        </w:rPr>
        <w:sectPr>
          <w:type w:val="continuous"/>
          <w:pgSz w:w="23820" w:h="16850" w:orient="landscape"/>
          <w:pgMar w:top="860" w:bottom="1220" w:left="460" w:right="460"/>
        </w:sectPr>
      </w:pPr>
    </w:p>
    <w:p>
      <w:pPr>
        <w:pStyle w:val="Heading1"/>
        <w:spacing w:before="52"/>
        <w:ind w:left="21521"/>
      </w:pPr>
      <w:r>
        <w:rPr/>
        <w:pict>
          <v:shape style="position:absolute;margin-left:711.599976pt;margin-top:8.243667pt;width:321.6pt;height:22.9pt;mso-position-horizontal-relative:page;mso-position-vertical-relative:paragraph;z-index:1240" type="#_x0000_t202" filled="false" stroked="true" strokeweight="2.25pt" strokecolor="#000000">
            <v:textbox inset="0,0,0,0">
              <w:txbxContent>
                <w:p>
                  <w:pPr>
                    <w:spacing w:before="73"/>
                    <w:ind w:left="1428" w:right="0" w:firstLine="0"/>
                    <w:jc w:val="left"/>
                    <w:rPr>
                      <w:b/>
                      <w:sz w:val="24"/>
                    </w:rPr>
                  </w:pPr>
                  <w:r>
                    <w:rPr>
                      <w:b/>
                      <w:sz w:val="24"/>
                    </w:rPr>
                    <w:t>CONSISTANCE DES TRAVAUX</w:t>
                  </w:r>
                </w:p>
              </w:txbxContent>
            </v:textbox>
            <v:stroke dashstyle="solid"/>
            <w10:wrap type="none"/>
          </v:shape>
        </w:pict>
      </w:r>
      <w:r>
        <w:rPr/>
        <w:pict>
          <v:shape style="position:absolute;margin-left:178.800003pt;margin-top:8.243667pt;width:321.6pt;height:22.9pt;mso-position-horizontal-relative:page;mso-position-vertical-relative:paragraph;z-index:1264" type="#_x0000_t202" filled="false" stroked="true" strokeweight="2.25pt" strokecolor="#000000">
            <v:textbox inset="0,0,0,0">
              <w:txbxContent>
                <w:p>
                  <w:pPr>
                    <w:spacing w:before="73"/>
                    <w:ind w:left="1986" w:right="0" w:firstLine="0"/>
                    <w:jc w:val="left"/>
                    <w:rPr>
                      <w:b/>
                      <w:sz w:val="24"/>
                    </w:rPr>
                  </w:pPr>
                  <w:r>
                    <w:rPr>
                      <w:b/>
                      <w:sz w:val="24"/>
                    </w:rPr>
                    <w:t>PLAN DE SITUATION</w:t>
                  </w:r>
                </w:p>
              </w:txbxContent>
            </v:textbox>
            <v:stroke dashstyle="solid"/>
            <w10:wrap type="none"/>
          </v:shape>
        </w:pict>
      </w:r>
      <w:r>
        <w:rPr/>
        <w:t>DT 1</w:t>
      </w:r>
    </w:p>
    <w:p>
      <w:pPr>
        <w:pStyle w:val="ListParagraph"/>
        <w:numPr>
          <w:ilvl w:val="0"/>
          <w:numId w:val="12"/>
        </w:numPr>
        <w:tabs>
          <w:tab w:pos="13113" w:val="left" w:leader="none"/>
          <w:tab w:pos="13114" w:val="left" w:leader="none"/>
        </w:tabs>
        <w:spacing w:line="240" w:lineRule="auto" w:before="239" w:after="0"/>
        <w:ind w:left="13125" w:right="1091" w:hanging="360"/>
        <w:jc w:val="left"/>
        <w:rPr>
          <w:rFonts w:ascii="Symbol" w:hAnsi="Symbol"/>
          <w:sz w:val="20"/>
        </w:rPr>
      </w:pPr>
      <w:r>
        <w:rPr/>
        <w:pict>
          <v:group style="position:absolute;margin-left:28.299999pt;margin-top:9.425881pt;width:575.9pt;height:695.85pt;mso-position-horizontal-relative:page;mso-position-vertical-relative:paragraph;z-index:1216" coordorigin="566,189" coordsize="11518,13917">
            <v:shape style="position:absolute;left:566;top:188;width:11518;height:13917" type="#_x0000_t75" stroked="false">
              <v:imagedata r:id="rId8" o:title=""/>
            </v:shape>
            <v:shape style="position:absolute;left:4628;top:9302;width:1152;height:2544" coordorigin="4628,9303" coordsize="1152,2544" path="m5204,9303l5115,9318,5030,9361,4951,9432,4878,9526,4844,9582,4812,9643,4782,9709,4755,9779,4729,9854,4707,9932,4687,10015,4669,10101,4655,10191,4643,10283,4635,10378,4630,10475,4628,10575,4630,10674,4635,10771,4643,10866,4655,10958,4669,11048,4687,11134,4707,11217,4729,11295,4755,11370,4782,11441,4812,11506,4844,11567,4878,11623,4913,11673,4990,11756,5072,11813,5159,11843,5204,11847,5249,11843,5336,11813,5418,11756,5495,11673,5530,11623,5564,11567,5596,11506,5626,11441,5653,11370,5679,11295,5701,11217,5721,11134,5739,11048,5753,10958,5765,10866,5773,10771,5778,10674,5780,10575,5778,10475,5773,10378,5765,10283,5753,10191,5739,10101,5721,10015,5701,9932,5679,9854,5653,9779,5626,9709,5596,9643,5564,9582,5530,9526,5495,9476,5418,9393,5336,9336,5249,9306,5204,9303xe" filled="false" stroked="true" strokeweight="3pt" strokecolor="#823a0a">
              <v:path arrowok="t"/>
              <v:stroke dashstyle="solid"/>
            </v:shape>
            <v:shape style="position:absolute;left:4608;top:9262;width:1152;height:2544" coordorigin="4608,9263" coordsize="1152,2544" path="m5184,9263l5095,9278,5010,9321,4931,9392,4858,9486,4824,9542,4792,9603,4762,9669,4735,9739,4709,9814,4687,9892,4667,9975,4649,10061,4635,10151,4623,10243,4615,10338,4610,10435,4608,10535,4610,10634,4615,10731,4623,10826,4635,10918,4649,11008,4667,11094,4687,11177,4709,11255,4735,11330,4762,11401,4792,11466,4824,11527,4858,11583,4893,11633,4970,11716,5052,11773,5139,11803,5184,11807,5229,11803,5316,11773,5398,11716,5475,11633,5510,11583,5544,11527,5576,11466,5606,11401,5633,11330,5659,11255,5681,11177,5701,11094,5719,11008,5733,10918,5745,10826,5753,10731,5758,10634,5760,10535,5758,10435,5753,10338,5745,10243,5733,10151,5719,10061,5701,9975,5681,9892,5659,9814,5633,9739,5606,9669,5576,9603,5544,9542,5510,9486,5475,9436,5398,9353,5316,9296,5229,9266,5184,9263xe" filled="false" stroked="true" strokeweight="3pt" strokecolor="#ff0000">
              <v:path arrowok="t"/>
              <v:stroke dashstyle="solid"/>
            </v:shape>
            <v:shape style="position:absolute;left:6048;top:10209;width:2040;height:221" type="#_x0000_t202" filled="false" stroked="false">
              <v:textbox inset="0,0,0,0">
                <w:txbxContent>
                  <w:p>
                    <w:pPr>
                      <w:spacing w:line="221" w:lineRule="exact" w:before="0"/>
                      <w:ind w:left="0" w:right="0" w:firstLine="0"/>
                      <w:jc w:val="left"/>
                      <w:rPr>
                        <w:rFonts w:ascii="Times New Roman"/>
                        <w:b/>
                        <w:sz w:val="20"/>
                      </w:rPr>
                    </w:pPr>
                    <w:r>
                      <w:rPr>
                        <w:rFonts w:ascii="Times New Roman"/>
                        <w:b/>
                        <w:sz w:val="20"/>
                      </w:rPr>
                      <w:t>ZONE DE CHANTIER</w:t>
                    </w:r>
                  </w:p>
                </w:txbxContent>
              </v:textbox>
              <w10:wrap type="none"/>
            </v:shape>
            <w10:wrap type="none"/>
          </v:group>
        </w:pict>
      </w:r>
      <w:r>
        <w:rPr>
          <w:sz w:val="24"/>
        </w:rPr>
        <w:t>Les missions, auxquelles participe l’entreprise, concernent les travaux de création d’une station d’épuration des eaux usées au lieu-dit Le plessis aux</w:t>
      </w:r>
      <w:r>
        <w:rPr>
          <w:spacing w:val="-20"/>
          <w:sz w:val="24"/>
        </w:rPr>
        <w:t> </w:t>
      </w:r>
      <w:r>
        <w:rPr>
          <w:sz w:val="24"/>
        </w:rPr>
        <w:t>moines.</w:t>
      </w:r>
    </w:p>
    <w:p>
      <w:pPr>
        <w:pStyle w:val="ListParagraph"/>
        <w:numPr>
          <w:ilvl w:val="0"/>
          <w:numId w:val="12"/>
        </w:numPr>
        <w:tabs>
          <w:tab w:pos="13113" w:val="left" w:leader="none"/>
          <w:tab w:pos="13114" w:val="left" w:leader="none"/>
        </w:tabs>
        <w:spacing w:line="240" w:lineRule="auto" w:before="232" w:after="0"/>
        <w:ind w:left="13125" w:right="1909" w:hanging="360"/>
        <w:jc w:val="left"/>
        <w:rPr>
          <w:rFonts w:ascii="Symbol" w:hAnsi="Symbol"/>
          <w:sz w:val="24"/>
        </w:rPr>
      </w:pPr>
      <w:r>
        <w:rPr>
          <w:sz w:val="24"/>
        </w:rPr>
        <w:t>Dans un premier temps, il s’agit d’analyser l’aspect technique de la station d’épuration et d’un mur de soutènement.</w:t>
      </w:r>
      <w:r>
        <w:rPr>
          <w:spacing w:val="-6"/>
          <w:sz w:val="24"/>
        </w:rPr>
        <w:t> </w:t>
      </w:r>
      <w:r>
        <w:rPr>
          <w:sz w:val="24"/>
        </w:rPr>
        <w:t>(U21)</w:t>
      </w:r>
    </w:p>
    <w:p>
      <w:pPr>
        <w:pStyle w:val="BodyText"/>
        <w:spacing w:before="8"/>
        <w:rPr>
          <w:sz w:val="23"/>
        </w:rPr>
      </w:pPr>
    </w:p>
    <w:p>
      <w:pPr>
        <w:pStyle w:val="ListParagraph"/>
        <w:numPr>
          <w:ilvl w:val="0"/>
          <w:numId w:val="12"/>
        </w:numPr>
        <w:tabs>
          <w:tab w:pos="13113" w:val="left" w:leader="none"/>
          <w:tab w:pos="13114" w:val="left" w:leader="none"/>
        </w:tabs>
        <w:spacing w:line="240" w:lineRule="auto" w:before="0" w:after="0"/>
        <w:ind w:left="13125" w:right="1104" w:hanging="360"/>
        <w:jc w:val="left"/>
        <w:rPr>
          <w:rFonts w:ascii="Symbol" w:hAnsi="Symbol"/>
          <w:sz w:val="24"/>
        </w:rPr>
      </w:pPr>
      <w:r>
        <w:rPr>
          <w:sz w:val="24"/>
        </w:rPr>
        <w:t>Dans un deuxième temps, il s’agit de quantifier les besoins et les moyens liés à la réalisation de la station.</w:t>
      </w:r>
      <w:r>
        <w:rPr>
          <w:spacing w:val="1"/>
          <w:sz w:val="24"/>
        </w:rPr>
        <w:t> </w:t>
      </w:r>
      <w:r>
        <w:rPr>
          <w:sz w:val="24"/>
        </w:rPr>
        <w:t>(U22)</w:t>
      </w:r>
    </w:p>
    <w:p>
      <w:pPr>
        <w:pStyle w:val="BodyText"/>
        <w:spacing w:before="10"/>
        <w:rPr>
          <w:sz w:val="23"/>
        </w:rPr>
      </w:pPr>
    </w:p>
    <w:p>
      <w:pPr>
        <w:pStyle w:val="ListParagraph"/>
        <w:numPr>
          <w:ilvl w:val="0"/>
          <w:numId w:val="12"/>
        </w:numPr>
        <w:tabs>
          <w:tab w:pos="13113" w:val="left" w:leader="none"/>
          <w:tab w:pos="13114" w:val="left" w:leader="none"/>
        </w:tabs>
        <w:spacing w:line="240" w:lineRule="auto" w:before="0" w:after="0"/>
        <w:ind w:left="13125" w:right="1347" w:hanging="360"/>
        <w:jc w:val="left"/>
        <w:rPr>
          <w:rFonts w:ascii="Symbol" w:hAnsi="Symbol"/>
          <w:sz w:val="24"/>
        </w:rPr>
      </w:pPr>
      <w:r>
        <w:rPr>
          <w:sz w:val="24"/>
        </w:rPr>
        <w:t>La troisième partie est consacrée à l’organisation et au suivi des travaux liés au terrassement.</w:t>
      </w:r>
      <w:r>
        <w:rPr>
          <w:spacing w:val="1"/>
          <w:sz w:val="24"/>
        </w:rPr>
        <w:t> </w:t>
      </w:r>
      <w:r>
        <w:rPr>
          <w:sz w:val="24"/>
        </w:rPr>
        <w:t>(U23)</w:t>
      </w:r>
    </w:p>
    <w:p>
      <w:pPr>
        <w:spacing w:after="0" w:line="240" w:lineRule="auto"/>
        <w:jc w:val="left"/>
        <w:rPr>
          <w:rFonts w:ascii="Symbol" w:hAnsi="Symbol"/>
          <w:sz w:val="24"/>
        </w:rPr>
        <w:sectPr>
          <w:footerReference w:type="default" r:id="rId7"/>
          <w:pgSz w:w="23820" w:h="16850" w:orient="landscape"/>
          <w:pgMar w:footer="802" w:header="0" w:top="240" w:bottom="1000" w:left="460" w:right="460"/>
        </w:sectPr>
      </w:pPr>
    </w:p>
    <w:p>
      <w:pPr>
        <w:pStyle w:val="Heading1"/>
        <w:spacing w:before="62"/>
        <w:ind w:right="451"/>
        <w:jc w:val="right"/>
      </w:pPr>
      <w:r>
        <w:rPr/>
        <w:drawing>
          <wp:anchor distT="0" distB="0" distL="0" distR="0" allowOverlap="1" layoutInCell="1" locked="0" behindDoc="1" simplePos="0" relativeHeight="268419359">
            <wp:simplePos x="0" y="0"/>
            <wp:positionH relativeFrom="page">
              <wp:posOffset>394334</wp:posOffset>
            </wp:positionH>
            <wp:positionV relativeFrom="page">
              <wp:posOffset>937894</wp:posOffset>
            </wp:positionV>
            <wp:extent cx="14236065" cy="9151620"/>
            <wp:effectExtent l="0" t="0" r="0" b="0"/>
            <wp:wrapNone/>
            <wp:docPr id="1" name="image3.jpeg" descr=""/>
            <wp:cNvGraphicFramePr>
              <a:graphicFrameLocks noChangeAspect="1"/>
            </wp:cNvGraphicFramePr>
            <a:graphic>
              <a:graphicData uri="http://schemas.openxmlformats.org/drawingml/2006/picture">
                <pic:pic>
                  <pic:nvPicPr>
                    <pic:cNvPr id="2" name="image3.jpeg"/>
                    <pic:cNvPicPr/>
                  </pic:nvPicPr>
                  <pic:blipFill>
                    <a:blip r:embed="rId10" cstate="print"/>
                    <a:stretch>
                      <a:fillRect/>
                    </a:stretch>
                  </pic:blipFill>
                  <pic:spPr>
                    <a:xfrm>
                      <a:off x="0" y="0"/>
                      <a:ext cx="14236065" cy="9151620"/>
                    </a:xfrm>
                    <a:prstGeom prst="rect">
                      <a:avLst/>
                    </a:prstGeom>
                  </pic:spPr>
                </pic:pic>
              </a:graphicData>
            </a:graphic>
          </wp:anchor>
        </w:drawing>
      </w:r>
      <w:r>
        <w:rPr/>
        <w:pict>
          <v:shape style="position:absolute;margin-left:436.450012pt;margin-top:2.263686pt;width:321.6pt;height:22.9pt;mso-position-horizontal-relative:page;mso-position-vertical-relative:paragraph;z-index:1312" type="#_x0000_t202" filled="false" stroked="true" strokeweight="2.25pt" strokecolor="#000000">
            <v:textbox inset="0,0,0,0">
              <w:txbxContent>
                <w:p>
                  <w:pPr>
                    <w:spacing w:before="73"/>
                    <w:ind w:left="2126" w:right="2126" w:firstLine="0"/>
                    <w:jc w:val="center"/>
                    <w:rPr>
                      <w:b/>
                      <w:sz w:val="24"/>
                    </w:rPr>
                  </w:pPr>
                  <w:r>
                    <w:rPr>
                      <w:b/>
                      <w:sz w:val="24"/>
                    </w:rPr>
                    <w:t>PLAN DU PROJET</w:t>
                  </w:r>
                </w:p>
              </w:txbxContent>
            </v:textbox>
            <v:stroke dashstyle="solid"/>
            <w10:wrap type="none"/>
          </v:shape>
        </w:pict>
      </w:r>
      <w:r>
        <w:rPr/>
        <w:t>DT 2</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3"/>
        </w:rPr>
      </w:pPr>
    </w:p>
    <w:p>
      <w:pPr>
        <w:pStyle w:val="BodyText"/>
        <w:tabs>
          <w:tab w:pos="22317" w:val="left" w:leader="none"/>
        </w:tabs>
        <w:spacing w:before="1"/>
        <w:ind w:left="12218"/>
      </w:pPr>
      <w:r>
        <w:rPr>
          <w:w w:val="100"/>
          <w:u w:val="single"/>
        </w:rPr>
        <w:t> </w:t>
      </w:r>
      <w:r>
        <w:rPr>
          <w:u w:val="single"/>
        </w:rPr>
        <w:tab/>
      </w:r>
      <w:r>
        <w:rPr/>
        <w:t>3/11</w:t>
      </w:r>
    </w:p>
    <w:p>
      <w:pPr>
        <w:spacing w:after="0"/>
        <w:sectPr>
          <w:footerReference w:type="default" r:id="rId9"/>
          <w:pgSz w:w="23820" w:h="16850" w:orient="landscape"/>
          <w:pgMar w:footer="0" w:header="0" w:top="600" w:bottom="280" w:left="460" w:right="460"/>
        </w:sectPr>
      </w:pPr>
    </w:p>
    <w:p>
      <w:pPr>
        <w:pStyle w:val="Heading1"/>
        <w:spacing w:before="68"/>
        <w:ind w:right="450"/>
        <w:jc w:val="right"/>
      </w:pPr>
      <w:r>
        <w:rPr/>
        <w:pict>
          <v:shape style="position:absolute;margin-left:451.799988pt;margin-top:2.543679pt;width:321.6pt;height:22.9pt;mso-position-horizontal-relative:page;mso-position-vertical-relative:paragraph;z-index:1336" type="#_x0000_t202" filled="false" stroked="true" strokeweight="2.25pt" strokecolor="#000000">
            <v:textbox inset="0,0,0,0">
              <w:txbxContent>
                <w:p>
                  <w:pPr>
                    <w:spacing w:before="74"/>
                    <w:ind w:left="2114" w:right="0" w:firstLine="0"/>
                    <w:jc w:val="left"/>
                    <w:rPr>
                      <w:b/>
                      <w:sz w:val="24"/>
                    </w:rPr>
                  </w:pPr>
                  <w:r>
                    <w:rPr>
                      <w:b/>
                      <w:sz w:val="24"/>
                    </w:rPr>
                    <w:t>EXTRAIT DU CCTP</w:t>
                  </w:r>
                </w:p>
              </w:txbxContent>
            </v:textbox>
            <v:stroke dashstyle="solid"/>
            <w10:wrap type="none"/>
          </v:shape>
        </w:pict>
      </w:r>
      <w:r>
        <w:rPr/>
        <w:t>DT 3</w:t>
      </w:r>
    </w:p>
    <w:p>
      <w:pPr>
        <w:pStyle w:val="Heading2"/>
        <w:spacing w:before="71"/>
      </w:pPr>
      <w:r>
        <w:rPr/>
        <w:t>CHAPITRE 1 – ASSAINISSEMENT</w:t>
      </w:r>
    </w:p>
    <w:p>
      <w:pPr>
        <w:pStyle w:val="BodyText"/>
        <w:spacing w:before="1"/>
        <w:rPr>
          <w:b/>
        </w:rPr>
      </w:pPr>
    </w:p>
    <w:p>
      <w:pPr>
        <w:spacing w:before="0"/>
        <w:ind w:left="106" w:right="0" w:firstLine="0"/>
        <w:jc w:val="left"/>
        <w:rPr>
          <w:b/>
          <w:sz w:val="24"/>
        </w:rPr>
      </w:pPr>
      <w:r>
        <w:rPr>
          <w:b/>
          <w:sz w:val="24"/>
        </w:rPr>
        <w:t>- Terrassements</w:t>
      </w:r>
    </w:p>
    <w:p>
      <w:pPr>
        <w:pStyle w:val="BodyText"/>
        <w:rPr>
          <w:b/>
        </w:rPr>
      </w:pPr>
    </w:p>
    <w:p>
      <w:pPr>
        <w:pStyle w:val="BodyText"/>
        <w:ind w:left="106"/>
      </w:pPr>
      <w:r>
        <w:rPr/>
        <w:t>Les fonds de fouille auront une pente de 0,5 % minimum vers l'exutoire (la filière étant drainée).</w:t>
      </w:r>
    </w:p>
    <w:p>
      <w:pPr>
        <w:pStyle w:val="BodyText"/>
        <w:spacing w:line="275" w:lineRule="exact"/>
        <w:ind w:left="106"/>
      </w:pPr>
      <w:r>
        <w:rPr/>
        <w:t>Les éléments contondants seront éliminés du fond de fouilles pour éviter tous risques de perforation de la géomembrane.</w:t>
      </w:r>
    </w:p>
    <w:p>
      <w:pPr>
        <w:pStyle w:val="BodyText"/>
        <w:spacing w:line="275" w:lineRule="exact"/>
        <w:ind w:left="106"/>
      </w:pPr>
      <w:r>
        <w:rPr/>
        <w:t>Les volumes estimés de terrassement pleine masse sont indiqués dans le détail estimatif. Les excédents seront régalés sur site, le cas échéant.</w:t>
      </w:r>
    </w:p>
    <w:p>
      <w:pPr>
        <w:pStyle w:val="BodyText"/>
      </w:pPr>
    </w:p>
    <w:p>
      <w:pPr>
        <w:pStyle w:val="Heading2"/>
      </w:pPr>
      <w:r>
        <w:rPr/>
        <w:t>- Étanchéité des filtres</w:t>
      </w:r>
    </w:p>
    <w:p>
      <w:pPr>
        <w:pStyle w:val="BodyText"/>
        <w:rPr>
          <w:b/>
          <w:sz w:val="16"/>
        </w:rPr>
      </w:pPr>
    </w:p>
    <w:p>
      <w:pPr>
        <w:pStyle w:val="BodyText"/>
        <w:spacing w:before="92"/>
        <w:ind w:left="106" w:right="2522"/>
      </w:pPr>
      <w:r>
        <w:rPr/>
        <w:t>Préalablement à la pose de la géomembrane, une couche de gravette de 5 cm minimum et une membrane anti poinçonnement (300g/m2 minimum) devront être mis en place en fond de filtre. L'entreprise prendra soin au niveau des bordures du filtre d'éliminer tous les risques de perforation de la géomembrane lors du remplissage du filtre par les graviers et le sable.</w:t>
      </w:r>
    </w:p>
    <w:p>
      <w:pPr>
        <w:pStyle w:val="BodyText"/>
        <w:ind w:left="106" w:right="318"/>
      </w:pPr>
      <w:r>
        <w:rPr/>
        <w:t>L'étanchéité des filtres sera réalisée à l'aide d'une géomembrane PEHD d’épaisseur 1,5 mm ou présentant des caractéristiques similaires (résistance au poinçonnement, au déchirement, aux UV, imperméable...). La proposition de mise en œuvre de géomembranes imperméables présentant des caractéristiques inférieures devra s’accompagner obligatoirement d’un dispositif anti poinçonnement vis à vis les rhizomes des roseaux (détailler le géo composite utilisé, placé en protection intérieure). Sur la géomembrane et le géotextile, </w:t>
      </w:r>
      <w:r>
        <w:rPr>
          <w:b/>
        </w:rPr>
        <w:t>la certification ASQUAL est exigée</w:t>
      </w:r>
      <w:r>
        <w:rPr/>
        <w:t>.</w:t>
      </w:r>
    </w:p>
    <w:p>
      <w:pPr>
        <w:pStyle w:val="BodyText"/>
        <w:spacing w:before="1"/>
        <w:ind w:left="106"/>
      </w:pPr>
      <w:r>
        <w:rPr/>
        <w:t>L'assemblage des lais devra être effectué en usine et préalablement testés. Les résultats sur les soudures devront être fournis préalablement à la mise en place des géomembranes.</w:t>
      </w:r>
    </w:p>
    <w:p>
      <w:pPr>
        <w:pStyle w:val="BodyText"/>
        <w:ind w:left="106"/>
      </w:pPr>
      <w:r>
        <w:rPr/>
        <w:t>La géomembrane sera adaptée aux formes géométriques des filtres et épousera les contours des filtres. La tenue devra être assurée par des techniques qui n'endommagent pas la géomembrane.</w:t>
      </w:r>
    </w:p>
    <w:p>
      <w:pPr>
        <w:pStyle w:val="BodyText"/>
        <w:ind w:left="106" w:right="404"/>
      </w:pPr>
      <w:r>
        <w:rPr/>
        <w:t>L'entreprise limitera au maximum les traversées de paroi de la membrane. Pour chaque filtre, il sera réalisé : o 1 seule traversée pour les eaux de drainage, o éventuellement 3 traversées pour les eaux d'arrivée. Une attention particulière sera portée à l’étanchéité des traversées de géomembrane : l’entreprise détaillera dans son offre, schéma et fiches produit à l’appui, le mode opératoire ainsi que les matériaux et fournitures utilisés (soudures, type de colliers et référence mastic le cas échéant). Avant garnissage des filtres, un second géotextile anti poinçonnement (300g/m2 minimum) sera posé au-dessus de la géomembrane, en protection des matériaux filtrants.</w:t>
      </w:r>
    </w:p>
    <w:p>
      <w:pPr>
        <w:pStyle w:val="BodyText"/>
        <w:ind w:left="106"/>
      </w:pPr>
      <w:r>
        <w:rPr/>
        <w:t>Un drainage des eaux sous géomembrane est également exigé pour éviter toute remontée du géo synthétique.</w:t>
      </w:r>
    </w:p>
    <w:p>
      <w:pPr>
        <w:pStyle w:val="BodyText"/>
      </w:pPr>
    </w:p>
    <w:p>
      <w:pPr>
        <w:pStyle w:val="Heading2"/>
      </w:pPr>
      <w:r>
        <w:rPr/>
        <w:t>- Réalisation des filtres</w:t>
      </w:r>
    </w:p>
    <w:p>
      <w:pPr>
        <w:pStyle w:val="BodyText"/>
        <w:rPr>
          <w:b/>
        </w:rPr>
      </w:pPr>
    </w:p>
    <w:p>
      <w:pPr>
        <w:pStyle w:val="BodyText"/>
        <w:ind w:left="106" w:right="571"/>
      </w:pPr>
      <w:r>
        <w:rPr/>
        <w:t>L'entreprise devra s'assurer lors de la réalisation des filtres de la préservation de l'étanchéité des filtres (poinçonnements et déchirures à proscrire). Le détail du passage des drains dans la géomembrane devra être joint ou décrit dans l'offre technique de l'entreprise.</w:t>
      </w:r>
    </w:p>
    <w:p>
      <w:pPr>
        <w:pStyle w:val="BodyText"/>
        <w:ind w:left="106" w:right="327"/>
      </w:pPr>
      <w:r>
        <w:rPr/>
        <w:t>De même lors de la pose des drains des précautions devront être prises pour que les pentes de 0,5 % soient effectives et pour qu'aucune contre pente néfaste au bon fonctionnement de la filière ne soit présente. Les couches de matériaux mis en place devront être homogènes et non tassés. Les éléments devront être secs lors de leur mise en place. La présence de matériel lourd dans les filtres est interdite. La mise en place des sables devra être assurée par des moyens adaptés.</w:t>
      </w:r>
    </w:p>
    <w:p>
      <w:pPr>
        <w:pStyle w:val="BodyText"/>
        <w:spacing w:before="1"/>
        <w:ind w:left="106" w:right="642"/>
      </w:pPr>
      <w:r>
        <w:rPr/>
        <w:t>L'entreprise devra s'assurer de la planéité de chacune de ces couches finies, la pente du filtre étant rattrapée sur la première couche épaisse de 40 cm au point le plus haut du filtre. La couche finale devra être horizontale pour pouvoir assurer une répartition homogène de l'effluent à traiter.</w:t>
      </w:r>
    </w:p>
    <w:p>
      <w:pPr>
        <w:pStyle w:val="BodyText"/>
        <w:ind w:left="106" w:right="130"/>
      </w:pPr>
      <w:r>
        <w:rPr/>
        <w:t>La délimitation des filtres devra être réalisée de manière à ce que toutes les fuites (d'effluents et de boues) soient impossibles. Les délimitations devront dépasser d'au moins 40 cm et être stable. Si elles s'appuient contre la géomembrane, une protection devra être mise en place (feuille anti poinçonnement de 300g/m2 au minimum). A titre purement indicatif, la délimitation des casiers pourra être réalisée à l'aide de délimitation en béton, s'enfonçant d'au moins de 30 cm dans le massif de sable et dépassant d'au moins 40 cm.</w:t>
      </w:r>
    </w:p>
    <w:p>
      <w:pPr>
        <w:pStyle w:val="BodyText"/>
        <w:ind w:left="106"/>
      </w:pPr>
      <w:r>
        <w:rPr/>
        <w:t>La revanche des filtres sera protégée des opérations de curage par empierrement ou mise en place de gabions ou de plaques en béton (à préciser dans l’offre).</w:t>
      </w:r>
    </w:p>
    <w:p>
      <w:pPr>
        <w:pStyle w:val="BodyText"/>
        <w:spacing w:before="11"/>
        <w:rPr>
          <w:sz w:val="23"/>
        </w:rPr>
      </w:pPr>
    </w:p>
    <w:p>
      <w:pPr>
        <w:pStyle w:val="Heading2"/>
      </w:pPr>
      <w:r>
        <w:rPr/>
        <w:t>- Alimentation et drainage des filtres</w:t>
      </w:r>
    </w:p>
    <w:p>
      <w:pPr>
        <w:pStyle w:val="BodyText"/>
        <w:spacing w:before="1"/>
        <w:rPr>
          <w:b/>
        </w:rPr>
      </w:pPr>
    </w:p>
    <w:p>
      <w:pPr>
        <w:pStyle w:val="BodyText"/>
        <w:ind w:left="106"/>
      </w:pPr>
      <w:r>
        <w:rPr/>
        <w:t>Le dimensionnement d'alimentation des filtres sera au moins égal à 0,60 m3/h/m2 de filtre en service. La lame d'eau sera au minimum de 3,5 cm sur les filtres.</w:t>
      </w:r>
    </w:p>
    <w:p>
      <w:pPr>
        <w:pStyle w:val="BodyText"/>
        <w:ind w:left="106" w:right="387"/>
      </w:pPr>
      <w:r>
        <w:rPr/>
        <w:t>Le réseau d’alimentation sera soit du type aérien, soit enterré. Dans la première hypothèse, afin de faciliter toute intervention ultérieure liée à l’exploitation, le système d'aspersion sera facilement démontable (limiter les manipulations pour les interventions de montage et démontage lors du faucardage et du curage des boues). Les canalisations doivent disposer d’un orifice en extrémité permettant la vidange complète vis à vis du risque de gel.</w:t>
      </w:r>
    </w:p>
    <w:p>
      <w:pPr>
        <w:pStyle w:val="BodyText"/>
        <w:ind w:left="106"/>
      </w:pPr>
      <w:r>
        <w:rPr/>
        <w:t>Le matériau utilisé pour le réseau d’aspersion sera le PEHD (ou tout autre matériau offrant une résistance aux U.V. équivalente).</w:t>
      </w:r>
    </w:p>
    <w:p>
      <w:pPr>
        <w:pStyle w:val="BodyText"/>
        <w:ind w:left="106" w:right="588"/>
      </w:pPr>
      <w:r>
        <w:rPr/>
        <w:t>Le réseau sera conçu de manière à permettre une alimentation homogène des filtres (ouvertures et diamètre adéquat). Les diamètres des canalisations utilisées seront détaillés dans le mémoire explicatif, ainsi qu’une note de calcul justifiant du débit minimum délivré en extrémité du réseau de casier le plus éloigné.</w:t>
      </w:r>
    </w:p>
    <w:p>
      <w:pPr>
        <w:pStyle w:val="BodyText"/>
        <w:ind w:left="106" w:right="106"/>
      </w:pPr>
      <w:r>
        <w:rPr/>
        <w:t>Les bouches d’alimentation du 1er étage de filtres plantés de roseaux seront équipées de plaques anti affouillement ou systèmes équivalents, ø600 minimum, imputrescibles et résistantes aux eaux usées. Ces plaques seront complétées par un cordon périphérique de 0,20 ml de largeur en matériau 20/40. Les eaux filtrées seront récupérées en fond de bassin par un réseau de drains disposés en parallèle dans le sens de la largeur. Chaque drain sera équipé d'un évent aérien à son extrémité. Les drains seront posés avec une pente comprise entre 0,5 et 1% et sont de type routier ou « épandrain ».</w:t>
      </w:r>
    </w:p>
    <w:p>
      <w:pPr>
        <w:pStyle w:val="BodyText"/>
        <w:ind w:left="106" w:right="744"/>
      </w:pPr>
      <w:r>
        <w:rPr/>
        <w:t>Un regard 40x40 avec grille avaloir sera prévu sur chaque casier en by•pass de sécurité, en cas de surcharge hydraulique accidentelle. Cet avaloir sera raccordé au collecteur principal de drainage de chaque casier, et aura également une fonction d’ouvrage de visite dans le cas d’une éventuelle inspection ou curage.</w:t>
      </w:r>
    </w:p>
    <w:p>
      <w:pPr>
        <w:pStyle w:val="BodyText"/>
        <w:ind w:left="106"/>
      </w:pPr>
      <w:r>
        <w:rPr/>
        <w:t>La fréquence d’alternance des casiers, à capacité nominale, est de 3 à 4 jours.</w:t>
      </w:r>
    </w:p>
    <w:p>
      <w:pPr>
        <w:spacing w:after="0"/>
        <w:sectPr>
          <w:footerReference w:type="default" r:id="rId11"/>
          <w:pgSz w:w="23820" w:h="16850" w:orient="landscape"/>
          <w:pgMar w:footer="802" w:header="0" w:top="620" w:bottom="1000" w:left="460" w:right="460"/>
          <w:pgNumType w:start="4"/>
        </w:sectPr>
      </w:pPr>
    </w:p>
    <w:p>
      <w:pPr>
        <w:pStyle w:val="BodyText"/>
        <w:rPr>
          <w:sz w:val="26"/>
        </w:rPr>
      </w:pPr>
    </w:p>
    <w:p>
      <w:pPr>
        <w:pStyle w:val="Heading2"/>
        <w:numPr>
          <w:ilvl w:val="0"/>
          <w:numId w:val="13"/>
        </w:numPr>
        <w:tabs>
          <w:tab w:pos="253" w:val="left" w:leader="none"/>
        </w:tabs>
        <w:spacing w:line="240" w:lineRule="auto" w:before="152" w:after="0"/>
        <w:ind w:left="252" w:right="0" w:hanging="146"/>
        <w:jc w:val="left"/>
      </w:pPr>
      <w:r>
        <w:rPr/>
        <w:t>Regard de collecte et de mise en</w:t>
      </w:r>
      <w:r>
        <w:rPr>
          <w:spacing w:val="-5"/>
        </w:rPr>
        <w:t> </w:t>
      </w:r>
      <w:r>
        <w:rPr/>
        <w:t>charge</w:t>
      </w:r>
    </w:p>
    <w:p>
      <w:pPr>
        <w:pStyle w:val="BodyText"/>
        <w:rPr>
          <w:b/>
        </w:rPr>
      </w:pPr>
    </w:p>
    <w:p>
      <w:pPr>
        <w:pStyle w:val="BodyText"/>
        <w:ind w:left="106" w:right="21"/>
      </w:pPr>
      <w:r>
        <w:rPr/>
        <w:t>En sortie de chaque étage de filtration, un regard de visite DN1000 sera installé permettant la mise en charge éventuelle des massifs afin de favoriser le développement des roseaux. Le dispositif de mise en charge restera amovible. Lorsque ce dernier ne sera pas en service, aucune mise en charge du massif ne devra avoir lieu. (Écoulement continu)</w:t>
      </w:r>
    </w:p>
    <w:p>
      <w:pPr>
        <w:pStyle w:val="BodyText"/>
        <w:spacing w:before="1"/>
        <w:ind w:left="106"/>
      </w:pPr>
      <w:r>
        <w:rPr/>
        <w:t>L’entrepreneur détaillera dans son offre les dispositifs qu’il souhaite mettre en œuvre.</w:t>
      </w:r>
    </w:p>
    <w:p>
      <w:pPr>
        <w:pStyle w:val="BodyText"/>
      </w:pPr>
    </w:p>
    <w:p>
      <w:pPr>
        <w:pStyle w:val="Heading2"/>
        <w:numPr>
          <w:ilvl w:val="0"/>
          <w:numId w:val="13"/>
        </w:numPr>
        <w:tabs>
          <w:tab w:pos="253" w:val="left" w:leader="none"/>
        </w:tabs>
        <w:spacing w:line="240" w:lineRule="auto" w:before="0" w:after="0"/>
        <w:ind w:left="252" w:right="0" w:hanging="146"/>
        <w:jc w:val="left"/>
      </w:pPr>
      <w:r>
        <w:rPr/>
        <w:t>Caractéristiques des granulats et du</w:t>
      </w:r>
      <w:r>
        <w:rPr>
          <w:spacing w:val="-3"/>
        </w:rPr>
        <w:t> </w:t>
      </w:r>
      <w:r>
        <w:rPr/>
        <w:t>sable</w:t>
      </w:r>
    </w:p>
    <w:p>
      <w:pPr>
        <w:spacing w:before="58"/>
        <w:ind w:left="106" w:right="0" w:firstLine="0"/>
        <w:jc w:val="left"/>
        <w:rPr>
          <w:b/>
          <w:sz w:val="56"/>
        </w:rPr>
      </w:pPr>
      <w:r>
        <w:rPr/>
        <w:br w:type="column"/>
      </w:r>
      <w:r>
        <w:rPr>
          <w:b/>
          <w:sz w:val="56"/>
        </w:rPr>
        <w:t>DT 4</w:t>
      </w:r>
    </w:p>
    <w:p>
      <w:pPr>
        <w:spacing w:after="0"/>
        <w:jc w:val="left"/>
        <w:rPr>
          <w:sz w:val="56"/>
        </w:rPr>
        <w:sectPr>
          <w:pgSz w:w="23820" w:h="16850" w:orient="landscape"/>
          <w:pgMar w:header="0" w:footer="802" w:top="400" w:bottom="1000" w:left="460" w:right="460"/>
          <w:cols w:num="2" w:equalWidth="0">
            <w:col w:w="19439" w:space="1698"/>
            <w:col w:w="1763"/>
          </w:cols>
        </w:sectPr>
      </w:pPr>
    </w:p>
    <w:p>
      <w:pPr>
        <w:pStyle w:val="BodyText"/>
        <w:spacing w:before="9"/>
        <w:rPr>
          <w:b/>
          <w:sz w:val="15"/>
        </w:rPr>
      </w:pPr>
    </w:p>
    <w:p>
      <w:pPr>
        <w:pStyle w:val="BodyText"/>
        <w:spacing w:before="92"/>
        <w:ind w:left="106" w:right="256"/>
      </w:pPr>
      <w:r>
        <w:rPr/>
        <w:t>Les graviers et les sables utilisés devront être lavés, roulés et non calcaire (siliceux). Si l’usage des matériaux roulés est à privilégier, l’utilisation de matériaux concassés pour les plus grosses granulométries n’est pas exclue.</w:t>
      </w:r>
    </w:p>
    <w:p>
      <w:pPr>
        <w:pStyle w:val="BodyText"/>
        <w:ind w:left="106" w:right="549"/>
      </w:pPr>
      <w:r>
        <w:rPr/>
        <w:t>Quelles que soient les granulométries des matériaux (sable, gravier), ils doivent être calibrés et lavés. Les matériaux de garnissage doivent être exempts d’éléments fins : la quantité des éléments d’un diamètre inférieur à 0,08mm doit être inférieure à 3% du poids sec.</w:t>
      </w:r>
    </w:p>
    <w:p>
      <w:pPr>
        <w:pStyle w:val="BodyText"/>
      </w:pPr>
    </w:p>
    <w:p>
      <w:pPr>
        <w:pStyle w:val="BodyText"/>
        <w:ind w:left="106" w:right="8442"/>
      </w:pPr>
      <w:r>
        <w:rPr/>
        <w:t>Les matériaux seront soumis à l'agrément du maître d'œuvre. L'entrepreneur devra fournir la courbe granulométrique et la provenance. En solution de base, les filtres du 1er étage seront constitués successivement en partant de la couche supérieure :</w:t>
      </w:r>
    </w:p>
    <w:p>
      <w:pPr>
        <w:pStyle w:val="ListParagraph"/>
        <w:numPr>
          <w:ilvl w:val="1"/>
          <w:numId w:val="13"/>
        </w:numPr>
        <w:tabs>
          <w:tab w:pos="814" w:val="left" w:leader="none"/>
          <w:tab w:pos="815" w:val="left" w:leader="none"/>
        </w:tabs>
        <w:spacing w:line="294" w:lineRule="exact" w:before="1" w:after="0"/>
        <w:ind w:left="814" w:right="0" w:hanging="348"/>
        <w:jc w:val="left"/>
        <w:rPr>
          <w:sz w:val="24"/>
        </w:rPr>
      </w:pPr>
      <w:r>
        <w:rPr>
          <w:sz w:val="24"/>
        </w:rPr>
        <w:t>D’une couche de 50 cm de graviers lavés calibrés</w:t>
      </w:r>
      <w:r>
        <w:rPr>
          <w:spacing w:val="-5"/>
          <w:sz w:val="24"/>
        </w:rPr>
        <w:t> </w:t>
      </w:r>
      <w:r>
        <w:rPr>
          <w:sz w:val="24"/>
        </w:rPr>
        <w:t>2/6,</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D’une couche de 20 cm (séparation de matériaux) de graviers lavés calibrés</w:t>
      </w:r>
      <w:r>
        <w:rPr>
          <w:spacing w:val="-6"/>
          <w:sz w:val="24"/>
        </w:rPr>
        <w:t> </w:t>
      </w:r>
      <w:r>
        <w:rPr>
          <w:sz w:val="24"/>
        </w:rPr>
        <w:t>10/20,</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D’une couche de 20 cm de graviers lavés calibrés</w:t>
      </w:r>
      <w:r>
        <w:rPr>
          <w:spacing w:val="-5"/>
          <w:sz w:val="24"/>
        </w:rPr>
        <w:t> </w:t>
      </w:r>
      <w:r>
        <w:rPr>
          <w:sz w:val="24"/>
        </w:rPr>
        <w:t>20/40.</w:t>
      </w:r>
    </w:p>
    <w:p>
      <w:pPr>
        <w:pStyle w:val="BodyText"/>
        <w:spacing w:line="274" w:lineRule="exact"/>
        <w:ind w:left="106"/>
      </w:pPr>
      <w:r>
        <w:rPr/>
        <w:t>Les filtres du 2ème étage seront constitués successivement en partant d'en haut :</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D’une couche de 50 cm de sable siliceux lavé</w:t>
      </w:r>
      <w:r>
        <w:rPr>
          <w:spacing w:val="-8"/>
          <w:sz w:val="24"/>
        </w:rPr>
        <w:t> </w:t>
      </w:r>
      <w:r>
        <w:rPr>
          <w:sz w:val="24"/>
        </w:rPr>
        <w:t>0/4,</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D’une couche de 10 cm de graviers lavés calibrés</w:t>
      </w:r>
      <w:r>
        <w:rPr>
          <w:spacing w:val="-5"/>
          <w:sz w:val="24"/>
        </w:rPr>
        <w:t> </w:t>
      </w:r>
      <w:r>
        <w:rPr>
          <w:sz w:val="24"/>
        </w:rPr>
        <w:t>2/6,</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D’une couche de 10 cm (séparation de matériaux) de graviers lavés calibrés</w:t>
      </w:r>
      <w:r>
        <w:rPr>
          <w:spacing w:val="-5"/>
          <w:sz w:val="24"/>
        </w:rPr>
        <w:t> </w:t>
      </w:r>
      <w:r>
        <w:rPr>
          <w:sz w:val="24"/>
        </w:rPr>
        <w:t>10/20,</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D’une couche de 20 cm de graviers lavés calibrés</w:t>
      </w:r>
      <w:r>
        <w:rPr>
          <w:spacing w:val="-5"/>
          <w:sz w:val="24"/>
        </w:rPr>
        <w:t> </w:t>
      </w:r>
      <w:r>
        <w:rPr>
          <w:sz w:val="24"/>
        </w:rPr>
        <w:t>20/40.</w:t>
      </w:r>
    </w:p>
    <w:p>
      <w:pPr>
        <w:pStyle w:val="BodyText"/>
        <w:rPr>
          <w:sz w:val="28"/>
        </w:rPr>
      </w:pPr>
    </w:p>
    <w:p>
      <w:pPr>
        <w:pStyle w:val="Heading2"/>
        <w:spacing w:before="226"/>
      </w:pPr>
      <w:r>
        <w:rPr/>
        <w:t>-Canalisation de rejet</w:t>
      </w:r>
    </w:p>
    <w:p>
      <w:pPr>
        <w:pStyle w:val="BodyText"/>
        <w:rPr>
          <w:b/>
        </w:rPr>
      </w:pPr>
    </w:p>
    <w:p>
      <w:pPr>
        <w:pStyle w:val="BodyText"/>
        <w:ind w:left="106" w:right="4854"/>
      </w:pPr>
      <w:r>
        <w:rPr/>
        <w:t>L’évacuation des eaux traitées dans le milieu récepteur se fera par une canalisation de refoulement PVC PN16 jusqu’au fossé situé en bordure de route communale n°5. Un dispositif anti affouillement sera mis en œuvre au droit du rejet pour éviter toute érosion prématurée du fossé.</w:t>
      </w:r>
    </w:p>
    <w:p>
      <w:pPr>
        <w:pStyle w:val="BodyText"/>
      </w:pPr>
    </w:p>
    <w:p>
      <w:pPr>
        <w:pStyle w:val="Heading2"/>
        <w:numPr>
          <w:ilvl w:val="0"/>
          <w:numId w:val="13"/>
        </w:numPr>
        <w:tabs>
          <w:tab w:pos="253" w:val="left" w:leader="none"/>
        </w:tabs>
        <w:spacing w:line="240" w:lineRule="auto" w:before="0" w:after="0"/>
        <w:ind w:left="252" w:right="0" w:hanging="146"/>
        <w:jc w:val="left"/>
      </w:pPr>
      <w:r>
        <w:rPr/>
        <w:t>Canalisations de</w:t>
      </w:r>
      <w:r>
        <w:rPr>
          <w:spacing w:val="-3"/>
        </w:rPr>
        <w:t> </w:t>
      </w:r>
      <w:r>
        <w:rPr/>
        <w:t>liaison</w:t>
      </w:r>
    </w:p>
    <w:p>
      <w:pPr>
        <w:pStyle w:val="BodyText"/>
        <w:rPr>
          <w:b/>
        </w:rPr>
      </w:pPr>
    </w:p>
    <w:p>
      <w:pPr>
        <w:pStyle w:val="BodyText"/>
        <w:ind w:left="106" w:right="275"/>
      </w:pPr>
      <w:r>
        <w:rPr/>
        <w:t>Les canalisations gravitaires seront conformes au fascicule 70 du CCTG et celles en pression au fascicule 71. Elles sont posées sur un lit de gravette avec un enrobage supérieur d'au moins 30 cm et sont de type à joints automatiques. Le remblai est soigneusement compacté. Toutes les canalisations seront repérées par un grillage de couleurs. Si les déblais des tranchées ne conviennent pas, le matériau d'apport proviendra de carrière proposée par l'entrepreneur.</w:t>
      </w:r>
    </w:p>
    <w:p>
      <w:pPr>
        <w:pStyle w:val="BodyText"/>
        <w:ind w:left="106"/>
      </w:pPr>
      <w:r>
        <w:rPr/>
        <w:t>L'emploi des tuyaux PVC à assemblage collé est interdit pour la pose en tranchée.</w:t>
      </w:r>
    </w:p>
    <w:p>
      <w:pPr>
        <w:pStyle w:val="BodyText"/>
        <w:ind w:left="106" w:right="174"/>
      </w:pPr>
      <w:r>
        <w:rPr/>
        <w:t>Les canalisations en élévation seront protégées contre le gel et les UV. Elles sont en acier inoxydable, y compris les brides et la boulonnerie, ou en PEHD. Les conduites faiblement recouvertes et devant supporter une charge roulante seront en fonte traitées anticorrosion, ou en PVC pression avec massif de protection béton.</w:t>
      </w:r>
    </w:p>
    <w:p>
      <w:pPr>
        <w:pStyle w:val="BodyText"/>
        <w:ind w:left="106" w:right="394"/>
      </w:pPr>
      <w:r>
        <w:rPr/>
        <w:t>Les canalisations gravitaires en PVC sont de classe CR16. Elles comportent des regards d'accès et de nettoyage de diamètre 600 avec tampon en fonte au droit de chaque changement de direction et pour toute portion droite supérieure à 80 m. Leur diamètre ne sera pas inférieur à 160</w:t>
      </w:r>
      <w:r>
        <w:rPr>
          <w:spacing w:val="-6"/>
        </w:rPr>
        <w:t> </w:t>
      </w:r>
      <w:r>
        <w:rPr/>
        <w:t>mm.</w:t>
      </w:r>
    </w:p>
    <w:p>
      <w:pPr>
        <w:pStyle w:val="BodyText"/>
        <w:spacing w:before="1"/>
      </w:pPr>
    </w:p>
    <w:p>
      <w:pPr>
        <w:pStyle w:val="Heading2"/>
      </w:pPr>
      <w:r>
        <w:rPr/>
        <w:t>CHAPITRE 2 -MATÉRIAUX ET FOURNITURE POUR LES</w:t>
      </w:r>
      <w:r>
        <w:rPr>
          <w:spacing w:val="-18"/>
        </w:rPr>
        <w:t> </w:t>
      </w:r>
      <w:r>
        <w:rPr/>
        <w:t>AMENAGEMENTS</w:t>
      </w:r>
    </w:p>
    <w:p>
      <w:pPr>
        <w:pStyle w:val="BodyText"/>
        <w:rPr>
          <w:b/>
        </w:rPr>
      </w:pPr>
    </w:p>
    <w:p>
      <w:pPr>
        <w:pStyle w:val="ListParagraph"/>
        <w:numPr>
          <w:ilvl w:val="0"/>
          <w:numId w:val="13"/>
        </w:numPr>
        <w:tabs>
          <w:tab w:pos="253" w:val="left" w:leader="none"/>
        </w:tabs>
        <w:spacing w:line="240" w:lineRule="auto" w:before="0" w:after="0"/>
        <w:ind w:left="252" w:right="0" w:hanging="146"/>
        <w:jc w:val="left"/>
        <w:rPr>
          <w:b/>
          <w:sz w:val="24"/>
        </w:rPr>
      </w:pPr>
      <w:r>
        <w:rPr>
          <w:b/>
          <w:sz w:val="24"/>
        </w:rPr>
        <w:t>Voiries</w:t>
      </w:r>
    </w:p>
    <w:p>
      <w:pPr>
        <w:pStyle w:val="BodyText"/>
        <w:rPr>
          <w:b/>
        </w:rPr>
      </w:pPr>
    </w:p>
    <w:p>
      <w:pPr>
        <w:pStyle w:val="BodyText"/>
        <w:ind w:left="106"/>
      </w:pPr>
      <w:r>
        <w:rPr/>
        <w:t>Les matériaux constitutifs des voiries proviendront de carrières agréées par le Maître d'Œuvre. La voirie lourde sera constituée au minimum de :</w:t>
      </w:r>
    </w:p>
    <w:p>
      <w:pPr>
        <w:pStyle w:val="ListParagraph"/>
        <w:numPr>
          <w:ilvl w:val="1"/>
          <w:numId w:val="13"/>
        </w:numPr>
        <w:tabs>
          <w:tab w:pos="814" w:val="left" w:leader="none"/>
          <w:tab w:pos="815" w:val="left" w:leader="none"/>
        </w:tabs>
        <w:spacing w:line="293" w:lineRule="exact" w:before="1" w:after="0"/>
        <w:ind w:left="814" w:right="0" w:hanging="348"/>
        <w:jc w:val="left"/>
        <w:rPr>
          <w:sz w:val="24"/>
        </w:rPr>
      </w:pPr>
      <w:r>
        <w:rPr>
          <w:sz w:val="24"/>
        </w:rPr>
        <w:t>Géotextile anti contaminant 300 g/m2 ;</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Couche de fondation de 0,30m d’épaisseur de 0/60, compactée</w:t>
      </w:r>
      <w:r>
        <w:rPr>
          <w:spacing w:val="-8"/>
          <w:sz w:val="24"/>
        </w:rPr>
        <w:t> </w:t>
      </w:r>
      <w:r>
        <w:rPr>
          <w:sz w:val="24"/>
        </w:rPr>
        <w:t>;</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Couche de 0,15m d’épaisseur de 0/31,5 primaire, compactée, puis engazonné Ou Couche de 0,15m d’épaisseur de 0/31,5 GNTA,</w:t>
      </w:r>
      <w:r>
        <w:rPr>
          <w:spacing w:val="-10"/>
          <w:sz w:val="24"/>
        </w:rPr>
        <w:t> </w:t>
      </w:r>
      <w:r>
        <w:rPr>
          <w:sz w:val="24"/>
        </w:rPr>
        <w:t>compactée,</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Terre végétale sur 5cm</w:t>
      </w:r>
      <w:r>
        <w:rPr>
          <w:spacing w:val="1"/>
          <w:sz w:val="24"/>
        </w:rPr>
        <w:t> </w:t>
      </w:r>
      <w:r>
        <w:rPr>
          <w:sz w:val="24"/>
        </w:rPr>
        <w:t>engazonnée</w:t>
      </w:r>
    </w:p>
    <w:p>
      <w:pPr>
        <w:pStyle w:val="BodyText"/>
        <w:spacing w:line="275" w:lineRule="exact"/>
        <w:ind w:left="106"/>
      </w:pPr>
      <w:r>
        <w:rPr/>
        <w:t>Les allées piétonnes seront constituées d’une couche de 20 cm de 0/31,5 isolée par un géotextile et compactée au cylindre puis engazonnées.</w:t>
      </w:r>
    </w:p>
    <w:p>
      <w:pPr>
        <w:pStyle w:val="BodyText"/>
        <w:ind w:left="106"/>
      </w:pPr>
      <w:r>
        <w:rPr/>
        <w:t>Les prix unitaires de réalisation des voiries incluent toutes sujétions nécessaires, dont débardage, dessouchage, nivellement de talus, etc., le cas échéant.</w:t>
      </w:r>
    </w:p>
    <w:p>
      <w:pPr>
        <w:spacing w:after="0"/>
        <w:sectPr>
          <w:type w:val="continuous"/>
          <w:pgSz w:w="23820" w:h="16850" w:orient="landscape"/>
          <w:pgMar w:top="860" w:bottom="1220" w:left="460" w:right="460"/>
        </w:sectPr>
      </w:pPr>
    </w:p>
    <w:p>
      <w:pPr>
        <w:pStyle w:val="BodyText"/>
        <w:rPr>
          <w:sz w:val="26"/>
        </w:rPr>
      </w:pPr>
    </w:p>
    <w:p>
      <w:pPr>
        <w:pStyle w:val="Heading2"/>
        <w:spacing w:before="192"/>
        <w:ind w:left="173"/>
      </w:pPr>
      <w:r>
        <w:rPr/>
        <w:t>Chapitre 3 - DÉSCRIPTION ET CARACTERISTIQUES DES OUVRAGES</w:t>
      </w:r>
    </w:p>
    <w:p>
      <w:pPr>
        <w:pStyle w:val="BodyText"/>
        <w:rPr>
          <w:b/>
        </w:rPr>
      </w:pPr>
    </w:p>
    <w:p>
      <w:pPr>
        <w:pStyle w:val="ListParagraph"/>
        <w:numPr>
          <w:ilvl w:val="0"/>
          <w:numId w:val="13"/>
        </w:numPr>
        <w:tabs>
          <w:tab w:pos="253" w:val="left" w:leader="none"/>
        </w:tabs>
        <w:spacing w:line="240" w:lineRule="auto" w:before="0" w:after="0"/>
        <w:ind w:left="252" w:right="0" w:hanging="146"/>
        <w:jc w:val="left"/>
        <w:rPr>
          <w:b/>
          <w:sz w:val="24"/>
        </w:rPr>
      </w:pPr>
      <w:r>
        <w:rPr>
          <w:b/>
          <w:sz w:val="24"/>
        </w:rPr>
        <w:t>Dérivation et déversoir</w:t>
      </w:r>
      <w:r>
        <w:rPr>
          <w:b/>
          <w:spacing w:val="-1"/>
          <w:sz w:val="24"/>
        </w:rPr>
        <w:t> </w:t>
      </w:r>
      <w:r>
        <w:rPr>
          <w:b/>
          <w:sz w:val="24"/>
        </w:rPr>
        <w:t>d'orage</w:t>
      </w:r>
    </w:p>
    <w:p>
      <w:pPr>
        <w:spacing w:before="59"/>
        <w:ind w:left="106" w:right="0" w:firstLine="0"/>
        <w:jc w:val="left"/>
        <w:rPr>
          <w:b/>
          <w:sz w:val="56"/>
        </w:rPr>
      </w:pPr>
      <w:r>
        <w:rPr/>
        <w:br w:type="column"/>
      </w:r>
      <w:r>
        <w:rPr>
          <w:b/>
          <w:sz w:val="56"/>
        </w:rPr>
        <w:t>DT 5</w:t>
      </w:r>
    </w:p>
    <w:p>
      <w:pPr>
        <w:spacing w:after="0"/>
        <w:jc w:val="left"/>
        <w:rPr>
          <w:sz w:val="56"/>
        </w:rPr>
        <w:sectPr>
          <w:pgSz w:w="23820" w:h="16850" w:orient="landscape"/>
          <w:pgMar w:header="0" w:footer="802" w:top="360" w:bottom="1000" w:left="460" w:right="460"/>
          <w:cols w:num="2" w:equalWidth="0">
            <w:col w:w="8145" w:space="13064"/>
            <w:col w:w="1691"/>
          </w:cols>
        </w:sectPr>
      </w:pPr>
    </w:p>
    <w:p>
      <w:pPr>
        <w:pStyle w:val="BodyText"/>
        <w:spacing w:before="1"/>
        <w:rPr>
          <w:b/>
          <w:sz w:val="16"/>
        </w:rPr>
      </w:pPr>
    </w:p>
    <w:p>
      <w:pPr>
        <w:pStyle w:val="BodyText"/>
        <w:spacing w:before="92"/>
        <w:ind w:left="106" w:right="425"/>
      </w:pPr>
      <w:r>
        <w:rPr/>
        <w:t>L’ouvrage de bâchée mécanique devra être doté d’un système de trop plein permettant l’évacuation des eaux vers l’étage n°2. Dans la mesure du possible, gravitairement, un trop plein vers le milieu naturel sera posé sur le poste de rejet des eaux traitées.</w:t>
      </w:r>
    </w:p>
    <w:p>
      <w:pPr>
        <w:pStyle w:val="BodyText"/>
      </w:pPr>
    </w:p>
    <w:p>
      <w:pPr>
        <w:pStyle w:val="Heading2"/>
        <w:numPr>
          <w:ilvl w:val="0"/>
          <w:numId w:val="13"/>
        </w:numPr>
        <w:tabs>
          <w:tab w:pos="253" w:val="left" w:leader="none"/>
        </w:tabs>
        <w:spacing w:line="240" w:lineRule="auto" w:before="0" w:after="0"/>
        <w:ind w:left="252" w:right="0" w:hanging="146"/>
        <w:jc w:val="left"/>
      </w:pPr>
      <w:r>
        <w:rPr/>
        <w:t>Dégrillage</w:t>
      </w:r>
    </w:p>
    <w:p>
      <w:pPr>
        <w:pStyle w:val="BodyText"/>
        <w:spacing w:before="9"/>
        <w:rPr>
          <w:b/>
          <w:sz w:val="23"/>
        </w:rPr>
      </w:pPr>
    </w:p>
    <w:p>
      <w:pPr>
        <w:pStyle w:val="BodyText"/>
        <w:ind w:left="106"/>
      </w:pPr>
      <w:r>
        <w:rPr/>
        <w:t>Un panier dégrilleur sera installé par le titulaire du lot réseaux sur le poste de refoulement général alimentant la station d’épuration.</w:t>
      </w:r>
    </w:p>
    <w:p>
      <w:pPr>
        <w:pStyle w:val="BodyText"/>
      </w:pPr>
    </w:p>
    <w:p>
      <w:pPr>
        <w:pStyle w:val="Heading2"/>
        <w:numPr>
          <w:ilvl w:val="0"/>
          <w:numId w:val="13"/>
        </w:numPr>
        <w:tabs>
          <w:tab w:pos="253" w:val="left" w:leader="none"/>
        </w:tabs>
        <w:spacing w:line="240" w:lineRule="auto" w:before="0" w:after="0"/>
        <w:ind w:left="252" w:right="0" w:hanging="146"/>
        <w:jc w:val="left"/>
      </w:pPr>
      <w:r>
        <w:rPr/>
        <w:t>Ouvrages</w:t>
      </w:r>
      <w:r>
        <w:rPr>
          <w:spacing w:val="-1"/>
        </w:rPr>
        <w:t> </w:t>
      </w:r>
      <w:r>
        <w:rPr/>
        <w:t>d'injection</w:t>
      </w:r>
    </w:p>
    <w:p>
      <w:pPr>
        <w:pStyle w:val="BodyText"/>
        <w:rPr>
          <w:b/>
        </w:rPr>
      </w:pPr>
    </w:p>
    <w:p>
      <w:pPr>
        <w:pStyle w:val="BodyText"/>
        <w:ind w:left="106" w:right="13482"/>
      </w:pPr>
      <w:r>
        <w:rPr/>
        <w:t>Un ouvrage d'injection sera nécessaire pour alimenter le deuxième étage de traitement. En solution de base, il sera de type :</w:t>
      </w:r>
    </w:p>
    <w:p>
      <w:pPr>
        <w:pStyle w:val="ListParagraph"/>
        <w:numPr>
          <w:ilvl w:val="1"/>
          <w:numId w:val="13"/>
        </w:numPr>
        <w:tabs>
          <w:tab w:pos="814" w:val="left" w:leader="none"/>
          <w:tab w:pos="815" w:val="left" w:leader="none"/>
        </w:tabs>
        <w:spacing w:line="293" w:lineRule="exact" w:before="1" w:after="0"/>
        <w:ind w:left="814" w:right="0" w:hanging="348"/>
        <w:jc w:val="left"/>
        <w:rPr>
          <w:sz w:val="24"/>
        </w:rPr>
      </w:pPr>
      <w:r>
        <w:rPr>
          <w:sz w:val="24"/>
        </w:rPr>
        <w:t>Chasse</w:t>
      </w:r>
      <w:r>
        <w:rPr>
          <w:spacing w:val="-3"/>
          <w:sz w:val="24"/>
        </w:rPr>
        <w:t> </w:t>
      </w:r>
      <w:r>
        <w:rPr>
          <w:sz w:val="24"/>
        </w:rPr>
        <w:t>mécanique</w:t>
      </w:r>
    </w:p>
    <w:p>
      <w:pPr>
        <w:pStyle w:val="BodyText"/>
        <w:spacing w:line="275" w:lineRule="exact"/>
        <w:ind w:left="106"/>
      </w:pPr>
      <w:r>
        <w:rPr/>
        <w:t>Le volume de bâchée devra être réglable, au minimum, jusqu’à la moitié du volume nominal.</w:t>
      </w:r>
    </w:p>
    <w:p>
      <w:pPr>
        <w:pStyle w:val="BodyText"/>
        <w:ind w:left="106" w:right="102"/>
      </w:pPr>
      <w:r>
        <w:rPr/>
        <w:t>Pour chaque ouvrage, le débit d’injection devra être au moins égal à 0,60 m3/h/m2 de filtre en service, soit environ 12.6 m3/h. Le volume injecté devra permettre d’obtenir une lame d'eau minimum de 3,5 cm sur les filtres en activité soit environ 0.75 m3. L’ouvrage d’injection sera équipé d’un compteur de bâchée.</w:t>
      </w:r>
    </w:p>
    <w:p>
      <w:pPr>
        <w:pStyle w:val="BodyText"/>
        <w:ind w:left="106"/>
      </w:pPr>
      <w:r>
        <w:rPr/>
        <w:t>NOTA : l’offre devra obligatoirement être complétée par une note de calcul justificative des pertes de charges jusqu’à l’orifice distal et garantissant le débit d’alimentation sur les filtres.</w:t>
      </w:r>
    </w:p>
    <w:p>
      <w:pPr>
        <w:pStyle w:val="BodyText"/>
      </w:pPr>
    </w:p>
    <w:p>
      <w:pPr>
        <w:pStyle w:val="Heading2"/>
      </w:pPr>
      <w:r>
        <w:rPr/>
        <w:t>Chapitre 4 - CONSISTANCE DE L’ENTREPRISE</w:t>
      </w:r>
    </w:p>
    <w:p>
      <w:pPr>
        <w:pStyle w:val="BodyText"/>
        <w:rPr>
          <w:b/>
        </w:rPr>
      </w:pPr>
    </w:p>
    <w:p>
      <w:pPr>
        <w:pStyle w:val="BodyText"/>
        <w:ind w:left="106" w:right="7686"/>
      </w:pPr>
      <w:r>
        <w:rPr/>
        <w:t>L’entreprise comprend l’ensemble des études, fournitures, prestations et travaux, mentionnés à l’article 2 du fascicule 81 – Titre II du C.C.T.G. Sont notamment prévues dans les prestations de l’entreprise :</w:t>
      </w:r>
    </w:p>
    <w:p>
      <w:pPr>
        <w:pStyle w:val="ListParagraph"/>
        <w:numPr>
          <w:ilvl w:val="1"/>
          <w:numId w:val="13"/>
        </w:numPr>
        <w:tabs>
          <w:tab w:pos="814" w:val="left" w:leader="none"/>
          <w:tab w:pos="815" w:val="left" w:leader="none"/>
        </w:tabs>
        <w:spacing w:line="293" w:lineRule="exact" w:before="1" w:after="0"/>
        <w:ind w:left="814" w:right="0" w:hanging="348"/>
        <w:jc w:val="left"/>
        <w:rPr>
          <w:sz w:val="24"/>
        </w:rPr>
      </w:pPr>
      <w:r>
        <w:rPr>
          <w:sz w:val="24"/>
        </w:rPr>
        <w:t>L’établissement du projet de construction des installations</w:t>
      </w:r>
      <w:r>
        <w:rPr>
          <w:spacing w:val="-12"/>
          <w:sz w:val="24"/>
        </w:rPr>
        <w:t> </w:t>
      </w:r>
      <w:r>
        <w:rPr>
          <w:sz w:val="24"/>
        </w:rPr>
        <w:t>;</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Les notes et dessins d’exécution qui sont à fournir au Maître d’œuvre en 4 exemplaires à l’issue de la période de préparation</w:t>
      </w:r>
      <w:r>
        <w:rPr>
          <w:spacing w:val="-15"/>
          <w:sz w:val="24"/>
        </w:rPr>
        <w:t> </w:t>
      </w:r>
      <w:r>
        <w:rPr>
          <w:sz w:val="24"/>
        </w:rPr>
        <w:t>;</w:t>
      </w:r>
    </w:p>
    <w:p>
      <w:pPr>
        <w:pStyle w:val="ListParagraph"/>
        <w:numPr>
          <w:ilvl w:val="1"/>
          <w:numId w:val="13"/>
        </w:numPr>
        <w:tabs>
          <w:tab w:pos="814" w:val="left" w:leader="none"/>
          <w:tab w:pos="815" w:val="left" w:leader="none"/>
        </w:tabs>
        <w:spacing w:line="291" w:lineRule="exact" w:before="0" w:after="0"/>
        <w:ind w:left="814" w:right="0" w:hanging="348"/>
        <w:jc w:val="left"/>
        <w:rPr>
          <w:sz w:val="24"/>
        </w:rPr>
      </w:pPr>
      <w:r>
        <w:rPr>
          <w:sz w:val="24"/>
        </w:rPr>
        <w:t>La fourniture du dossier de demande du permis de construire si</w:t>
      </w:r>
      <w:r>
        <w:rPr>
          <w:spacing w:val="-7"/>
          <w:sz w:val="24"/>
        </w:rPr>
        <w:t> </w:t>
      </w:r>
      <w:r>
        <w:rPr>
          <w:sz w:val="24"/>
        </w:rPr>
        <w:t>nécessaire.</w:t>
      </w:r>
    </w:p>
    <w:p>
      <w:pPr>
        <w:pStyle w:val="BodyText"/>
        <w:ind w:left="106" w:right="735"/>
      </w:pPr>
      <w:r>
        <w:rPr/>
        <w:t>L’exécution complète de ce projet, comprenant l’installation du chantier, la fourniture et le transport à pied d’œuvre de tous matériaux, matériels et équipements nécessaires, ainsi que leur mise en œuvre, leur montage, à savoir :</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Le débroussaillage et dessouchage du terrain, si</w:t>
      </w:r>
      <w:r>
        <w:rPr>
          <w:spacing w:val="-5"/>
          <w:sz w:val="24"/>
        </w:rPr>
        <w:t> </w:t>
      </w:r>
      <w:r>
        <w:rPr>
          <w:sz w:val="24"/>
        </w:rPr>
        <w:t>nécessaire,</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Le décapage du terrain sur l’emprise de la filière de</w:t>
      </w:r>
      <w:r>
        <w:rPr>
          <w:spacing w:val="-5"/>
          <w:sz w:val="24"/>
        </w:rPr>
        <w:t> </w:t>
      </w:r>
      <w:r>
        <w:rPr>
          <w:sz w:val="24"/>
        </w:rPr>
        <w:t>traitement,</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Les terrassements, le remblaiement éventuel du terrain et l’évacuation des déblais</w:t>
      </w:r>
      <w:r>
        <w:rPr>
          <w:spacing w:val="-12"/>
          <w:sz w:val="24"/>
        </w:rPr>
        <w:t> </w:t>
      </w:r>
      <w:r>
        <w:rPr>
          <w:sz w:val="24"/>
        </w:rPr>
        <w:t>excédentaires,</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Les travaux de génie civil, la construction et l’équipement des ouvrages recevant les divers éléments de</w:t>
      </w:r>
      <w:r>
        <w:rPr>
          <w:spacing w:val="-20"/>
          <w:sz w:val="24"/>
        </w:rPr>
        <w:t> </w:t>
      </w:r>
      <w:r>
        <w:rPr>
          <w:sz w:val="24"/>
        </w:rPr>
        <w:t>l’installation,</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La fourniture et la mise en œuvre des équipements hydrauliques et mécaniques de</w:t>
      </w:r>
      <w:r>
        <w:rPr>
          <w:spacing w:val="-17"/>
          <w:sz w:val="24"/>
        </w:rPr>
        <w:t> </w:t>
      </w:r>
      <w:r>
        <w:rPr>
          <w:sz w:val="24"/>
        </w:rPr>
        <w:t>traitement,</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Les équipements divers nécessaires au bon fonctionnement et à l’entretien des</w:t>
      </w:r>
      <w:r>
        <w:rPr>
          <w:spacing w:val="-11"/>
          <w:sz w:val="24"/>
        </w:rPr>
        <w:t> </w:t>
      </w:r>
      <w:r>
        <w:rPr>
          <w:sz w:val="24"/>
        </w:rPr>
        <w:t>installations,</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Le raccordement de la station au branchement d’eau potable, et à la conduite gravitaire de collecte des eaux</w:t>
      </w:r>
      <w:r>
        <w:rPr>
          <w:spacing w:val="-23"/>
          <w:sz w:val="24"/>
        </w:rPr>
        <w:t> </w:t>
      </w:r>
      <w:r>
        <w:rPr>
          <w:sz w:val="24"/>
        </w:rPr>
        <w:t>usées,</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L’exécution de la clôture et l’aménagement des espaces</w:t>
      </w:r>
      <w:r>
        <w:rPr>
          <w:spacing w:val="-5"/>
          <w:sz w:val="24"/>
        </w:rPr>
        <w:t> </w:t>
      </w:r>
      <w:r>
        <w:rPr>
          <w:sz w:val="24"/>
        </w:rPr>
        <w:t>libres,</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La mise en route des installations et l’exécution des essais en cours de travaux et des essais de</w:t>
      </w:r>
      <w:r>
        <w:rPr>
          <w:spacing w:val="-20"/>
          <w:sz w:val="24"/>
        </w:rPr>
        <w:t> </w:t>
      </w:r>
      <w:r>
        <w:rPr>
          <w:sz w:val="24"/>
        </w:rPr>
        <w:t>garantie,</w:t>
      </w:r>
    </w:p>
    <w:p>
      <w:pPr>
        <w:pStyle w:val="ListParagraph"/>
        <w:numPr>
          <w:ilvl w:val="1"/>
          <w:numId w:val="13"/>
        </w:numPr>
        <w:tabs>
          <w:tab w:pos="814" w:val="left" w:leader="none"/>
          <w:tab w:pos="815" w:val="left" w:leader="none"/>
        </w:tabs>
        <w:spacing w:line="292" w:lineRule="exact" w:before="0" w:after="0"/>
        <w:ind w:left="814" w:right="0" w:hanging="348"/>
        <w:jc w:val="left"/>
        <w:rPr>
          <w:sz w:val="24"/>
        </w:rPr>
      </w:pPr>
      <w:r>
        <w:rPr>
          <w:sz w:val="24"/>
        </w:rPr>
        <w:t>La remise en état des lieux et le nettoyage des</w:t>
      </w:r>
      <w:r>
        <w:rPr>
          <w:spacing w:val="-6"/>
          <w:sz w:val="24"/>
        </w:rPr>
        <w:t> </w:t>
      </w:r>
      <w:r>
        <w:rPr>
          <w:sz w:val="24"/>
        </w:rPr>
        <w:t>installations,</w:t>
      </w:r>
    </w:p>
    <w:p>
      <w:pPr>
        <w:pStyle w:val="ListParagraph"/>
        <w:numPr>
          <w:ilvl w:val="1"/>
          <w:numId w:val="13"/>
        </w:numPr>
        <w:tabs>
          <w:tab w:pos="814" w:val="left" w:leader="none"/>
          <w:tab w:pos="815" w:val="left" w:leader="none"/>
        </w:tabs>
        <w:spacing w:line="293" w:lineRule="exact" w:before="0" w:after="0"/>
        <w:ind w:left="814" w:right="0" w:hanging="348"/>
        <w:jc w:val="left"/>
        <w:rPr>
          <w:sz w:val="24"/>
        </w:rPr>
      </w:pPr>
      <w:r>
        <w:rPr>
          <w:sz w:val="24"/>
        </w:rPr>
        <w:t>La formation du personnel d’exploitation (détailler dans l’offre le nombre de journées prévues) et la fourniture du dossier</w:t>
      </w:r>
      <w:r>
        <w:rPr>
          <w:spacing w:val="-17"/>
          <w:sz w:val="24"/>
        </w:rPr>
        <w:t> </w:t>
      </w:r>
      <w:r>
        <w:rPr>
          <w:sz w:val="24"/>
        </w:rPr>
        <w:t>d’exploitation.</w:t>
      </w:r>
    </w:p>
    <w:p>
      <w:pPr>
        <w:spacing w:after="0" w:line="293" w:lineRule="exact"/>
        <w:jc w:val="left"/>
        <w:rPr>
          <w:sz w:val="24"/>
        </w:rPr>
        <w:sectPr>
          <w:type w:val="continuous"/>
          <w:pgSz w:w="23820" w:h="16850" w:orient="landscape"/>
          <w:pgMar w:top="860" w:bottom="1220" w:left="460" w:right="460"/>
        </w:sectPr>
      </w:pPr>
    </w:p>
    <w:p>
      <w:pPr>
        <w:pStyle w:val="Heading1"/>
        <w:spacing w:before="62"/>
        <w:ind w:right="361"/>
        <w:jc w:val="right"/>
      </w:pPr>
      <w:r>
        <w:rPr/>
        <w:pict>
          <v:shape style="position:absolute;margin-left:449.25pt;margin-top:24.023647pt;width:321.6pt;height:22.9pt;mso-position-horizontal-relative:page;mso-position-vertical-relative:paragraph;z-index:1408" type="#_x0000_t202" filled="false" stroked="true" strokeweight="2.25pt" strokecolor="#000000">
            <v:textbox inset="0,0,0,0">
              <w:txbxContent>
                <w:p>
                  <w:pPr>
                    <w:spacing w:before="72"/>
                    <w:ind w:left="759" w:right="0" w:firstLine="0"/>
                    <w:jc w:val="left"/>
                    <w:rPr>
                      <w:b/>
                      <w:sz w:val="24"/>
                    </w:rPr>
                  </w:pPr>
                  <w:r>
                    <w:rPr>
                      <w:b/>
                      <w:sz w:val="24"/>
                    </w:rPr>
                    <w:t>FICHE TECHNIQUE POSTE DE RELEVAGE</w:t>
                  </w:r>
                </w:p>
              </w:txbxContent>
            </v:textbox>
            <v:stroke dashstyle="solid"/>
            <w10:wrap type="none"/>
          </v:shape>
        </w:pict>
      </w:r>
      <w:r>
        <w:rPr/>
        <w:t>DT 6</w:t>
      </w:r>
    </w:p>
    <w:p>
      <w:pPr>
        <w:pStyle w:val="BodyText"/>
        <w:rPr>
          <w:b/>
          <w:sz w:val="20"/>
        </w:rPr>
      </w:pPr>
    </w:p>
    <w:p>
      <w:pPr>
        <w:pStyle w:val="BodyText"/>
        <w:spacing w:before="9"/>
        <w:rPr>
          <w:b/>
          <w:sz w:val="11"/>
        </w:rPr>
      </w:pPr>
      <w:r>
        <w:rPr/>
        <w:pict>
          <v:group style="position:absolute;margin-left:28.299999pt;margin-top:9.263711pt;width:410.1pt;height:695.4pt;mso-position-horizontal-relative:page;mso-position-vertical-relative:paragraph;z-index:-688;mso-wrap-distance-left:0;mso-wrap-distance-right:0" coordorigin="566,185" coordsize="8202,13908">
            <v:shape style="position:absolute;left:566;top:185;width:5978;height:9717" type="#_x0000_t75" stroked="false">
              <v:imagedata r:id="rId12" o:title=""/>
            </v:shape>
            <v:shape style="position:absolute;left:566;top:9902;width:8202;height:4191" type="#_x0000_t75" stroked="false">
              <v:imagedata r:id="rId13" o:title=""/>
            </v:shape>
            <w10:wrap type="topAndBottom"/>
          </v:group>
        </w:pict>
      </w:r>
      <w:r>
        <w:rPr/>
        <w:drawing>
          <wp:anchor distT="0" distB="0" distL="0" distR="0" allowOverlap="1" layoutInCell="1" locked="0" behindDoc="0" simplePos="0" relativeHeight="15">
            <wp:simplePos x="0" y="0"/>
            <wp:positionH relativeFrom="page">
              <wp:posOffset>5704204</wp:posOffset>
            </wp:positionH>
            <wp:positionV relativeFrom="paragraph">
              <wp:posOffset>213534</wp:posOffset>
            </wp:positionV>
            <wp:extent cx="5261943" cy="5980747"/>
            <wp:effectExtent l="0" t="0" r="0" b="0"/>
            <wp:wrapTopAndBottom/>
            <wp:docPr id="3" name="image6.jpeg" descr=""/>
            <wp:cNvGraphicFramePr>
              <a:graphicFrameLocks noChangeAspect="1"/>
            </wp:cNvGraphicFramePr>
            <a:graphic>
              <a:graphicData uri="http://schemas.openxmlformats.org/drawingml/2006/picture">
                <pic:pic>
                  <pic:nvPicPr>
                    <pic:cNvPr id="4" name="image6.jpeg"/>
                    <pic:cNvPicPr/>
                  </pic:nvPicPr>
                  <pic:blipFill>
                    <a:blip r:embed="rId14" cstate="print"/>
                    <a:stretch>
                      <a:fillRect/>
                    </a:stretch>
                  </pic:blipFill>
                  <pic:spPr>
                    <a:xfrm>
                      <a:off x="0" y="0"/>
                      <a:ext cx="5261943" cy="5980747"/>
                    </a:xfrm>
                    <a:prstGeom prst="rect">
                      <a:avLst/>
                    </a:prstGeom>
                  </pic:spPr>
                </pic:pic>
              </a:graphicData>
            </a:graphic>
          </wp:anchor>
        </w:drawing>
      </w:r>
    </w:p>
    <w:p>
      <w:pPr>
        <w:spacing w:after="0"/>
        <w:rPr>
          <w:sz w:val="11"/>
        </w:rPr>
        <w:sectPr>
          <w:pgSz w:w="23820" w:h="16850" w:orient="landscape"/>
          <w:pgMar w:header="0" w:footer="802" w:top="280" w:bottom="1000" w:left="460" w:right="460"/>
        </w:sectPr>
      </w:pPr>
    </w:p>
    <w:p>
      <w:pPr>
        <w:spacing w:before="58"/>
        <w:ind w:left="0" w:right="395" w:firstLine="0"/>
        <w:jc w:val="right"/>
        <w:rPr>
          <w:b/>
          <w:sz w:val="56"/>
        </w:rPr>
      </w:pPr>
      <w:r>
        <w:rPr/>
        <w:pict>
          <v:shape style="position:absolute;margin-left:461.25pt;margin-top:8.213698pt;width:321.6pt;height:22.9pt;mso-position-horizontal-relative:page;mso-position-vertical-relative:paragraph;z-index:1480" type="#_x0000_t202" filled="false" stroked="true" strokeweight="2.25pt" strokecolor="#000000">
            <v:textbox inset="0,0,0,0">
              <w:txbxContent>
                <w:p>
                  <w:pPr>
                    <w:spacing w:before="73"/>
                    <w:ind w:left="473" w:right="0" w:firstLine="0"/>
                    <w:jc w:val="left"/>
                    <w:rPr>
                      <w:b/>
                      <w:sz w:val="24"/>
                    </w:rPr>
                  </w:pPr>
                  <w:r>
                    <w:rPr>
                      <w:b/>
                      <w:sz w:val="24"/>
                    </w:rPr>
                    <w:t>FICHE TECHNIQUE MURS DE SOUTÈNEMENTS</w:t>
                  </w:r>
                </w:p>
              </w:txbxContent>
            </v:textbox>
            <v:stroke dashstyle="solid"/>
            <w10:wrap type="none"/>
          </v:shape>
        </w:pict>
      </w:r>
      <w:r>
        <w:rPr>
          <w:b/>
          <w:sz w:val="56"/>
        </w:rPr>
        <w:t>DT 7</w:t>
      </w:r>
    </w:p>
    <w:p>
      <w:pPr>
        <w:pStyle w:val="BodyText"/>
        <w:rPr>
          <w:b/>
          <w:sz w:val="20"/>
        </w:rPr>
      </w:pPr>
    </w:p>
    <w:p>
      <w:pPr>
        <w:pStyle w:val="BodyText"/>
        <w:rPr>
          <w:b/>
          <w:sz w:val="20"/>
        </w:rPr>
      </w:pPr>
    </w:p>
    <w:p>
      <w:pPr>
        <w:pStyle w:val="BodyText"/>
        <w:rPr>
          <w:b/>
          <w:sz w:val="20"/>
        </w:rPr>
      </w:pPr>
    </w:p>
    <w:p>
      <w:pPr>
        <w:pStyle w:val="BodyText"/>
        <w:spacing w:before="2"/>
        <w:rPr>
          <w:b/>
          <w:sz w:val="17"/>
        </w:rPr>
      </w:pPr>
      <w:r>
        <w:rPr/>
        <w:drawing>
          <wp:anchor distT="0" distB="0" distL="0" distR="0" allowOverlap="1" layoutInCell="1" locked="0" behindDoc="0" simplePos="0" relativeHeight="17">
            <wp:simplePos x="0" y="0"/>
            <wp:positionH relativeFrom="page">
              <wp:posOffset>359409</wp:posOffset>
            </wp:positionH>
            <wp:positionV relativeFrom="paragraph">
              <wp:posOffset>150693</wp:posOffset>
            </wp:positionV>
            <wp:extent cx="6796983" cy="5702522"/>
            <wp:effectExtent l="0" t="0" r="0" b="0"/>
            <wp:wrapTopAndBottom/>
            <wp:docPr id="5" name="image7.jpeg" descr=""/>
            <wp:cNvGraphicFramePr>
              <a:graphicFrameLocks noChangeAspect="1"/>
            </wp:cNvGraphicFramePr>
            <a:graphic>
              <a:graphicData uri="http://schemas.openxmlformats.org/drawingml/2006/picture">
                <pic:pic>
                  <pic:nvPicPr>
                    <pic:cNvPr id="6" name="image7.jpeg"/>
                    <pic:cNvPicPr/>
                  </pic:nvPicPr>
                  <pic:blipFill>
                    <a:blip r:embed="rId15" cstate="print"/>
                    <a:stretch>
                      <a:fillRect/>
                    </a:stretch>
                  </pic:blipFill>
                  <pic:spPr>
                    <a:xfrm>
                      <a:off x="0" y="0"/>
                      <a:ext cx="6796983" cy="5702522"/>
                    </a:xfrm>
                    <a:prstGeom prst="rect">
                      <a:avLst/>
                    </a:prstGeom>
                  </pic:spPr>
                </pic:pic>
              </a:graphicData>
            </a:graphic>
          </wp:anchor>
        </w:drawing>
      </w:r>
      <w:r>
        <w:rPr/>
        <w:pict>
          <v:group style="position:absolute;margin-left:32.862068pt;margin-top:476.554291pt;width:516.3pt;height:164.3pt;mso-position-horizontal-relative:page;mso-position-vertical-relative:paragraph;z-index:-592;mso-wrap-distance-left:0;mso-wrap-distance-right:0" coordorigin="657,9531" coordsize="10326,3286">
            <v:shape style="position:absolute;left:657;top:9531;width:10326;height:3286" type="#_x0000_t75" stroked="false">
              <v:imagedata r:id="rId16" o:title=""/>
            </v:shape>
            <v:rect style="position:absolute;left:1995;top:12381;width:2898;height:365" filled="true" fillcolor="#ffffff" stroked="false">
              <v:fill type="solid"/>
            </v:rect>
            <w10:wrap type="topAndBottom"/>
          </v:group>
        </w:pict>
      </w:r>
    </w:p>
    <w:p>
      <w:pPr>
        <w:pStyle w:val="BodyText"/>
        <w:spacing w:before="5"/>
        <w:rPr>
          <w:b/>
          <w:sz w:val="20"/>
        </w:rPr>
      </w:pPr>
    </w:p>
    <w:p>
      <w:pPr>
        <w:spacing w:after="0"/>
        <w:rPr>
          <w:sz w:val="20"/>
        </w:rPr>
        <w:sectPr>
          <w:pgSz w:w="23820" w:h="16850" w:orient="landscape"/>
          <w:pgMar w:header="0" w:footer="802" w:top="400" w:bottom="1000" w:left="460" w:right="460"/>
        </w:sectPr>
      </w:pPr>
    </w:p>
    <w:p>
      <w:pPr>
        <w:pStyle w:val="BodyText"/>
        <w:rPr>
          <w:b/>
          <w:sz w:val="26"/>
        </w:rPr>
      </w:pPr>
    </w:p>
    <w:p>
      <w:pPr>
        <w:pStyle w:val="BodyText"/>
        <w:spacing w:before="8"/>
        <w:rPr>
          <w:b/>
          <w:sz w:val="38"/>
        </w:rPr>
      </w:pPr>
    </w:p>
    <w:p>
      <w:pPr>
        <w:pStyle w:val="Heading2"/>
        <w:numPr>
          <w:ilvl w:val="0"/>
          <w:numId w:val="14"/>
        </w:numPr>
        <w:tabs>
          <w:tab w:pos="815" w:val="left" w:leader="none"/>
        </w:tabs>
        <w:spacing w:line="240" w:lineRule="auto" w:before="0" w:after="0"/>
        <w:ind w:left="814" w:right="0" w:hanging="348"/>
        <w:jc w:val="left"/>
      </w:pPr>
      <w:r>
        <w:rPr/>
        <w:pict>
          <v:shape style="position:absolute;margin-left:473.25pt;margin-top:-23.014122pt;width:321.6pt;height:22.9pt;mso-position-horizontal-relative:page;mso-position-vertical-relative:paragraph;z-index:1576" type="#_x0000_t202" filled="false" stroked="true" strokeweight="2.25pt" strokecolor="#000000">
            <v:textbox inset="0,0,0,0">
              <w:txbxContent>
                <w:p>
                  <w:pPr>
                    <w:spacing w:before="73"/>
                    <w:ind w:left="473" w:right="0" w:firstLine="0"/>
                    <w:jc w:val="left"/>
                    <w:rPr>
                      <w:b/>
                      <w:sz w:val="24"/>
                    </w:rPr>
                  </w:pPr>
                  <w:r>
                    <w:rPr>
                      <w:b/>
                      <w:sz w:val="24"/>
                    </w:rPr>
                    <w:t>FICHE TECHNIQUE MURS DE SOUTÈNEMENTS</w:t>
                  </w:r>
                </w:p>
              </w:txbxContent>
            </v:textbox>
            <v:stroke dashstyle="solid"/>
            <w10:wrap type="none"/>
          </v:shape>
        </w:pict>
      </w:r>
      <w:r>
        <w:rPr>
          <w:rFonts w:ascii="Times New Roman" w:hAnsi="Times New Roman"/>
          <w:b w:val="0"/>
          <w:spacing w:val="-60"/>
          <w:w w:val="99"/>
          <w:u w:val="thick"/>
        </w:rPr>
        <w:t> </w:t>
      </w:r>
      <w:r>
        <w:rPr>
          <w:u w:val="thick"/>
        </w:rPr>
        <w:t>Préparation de l’assise de la fondation du</w:t>
      </w:r>
      <w:r>
        <w:rPr>
          <w:spacing w:val="-13"/>
          <w:u w:val="thick"/>
        </w:rPr>
        <w:t> </w:t>
      </w:r>
      <w:r>
        <w:rPr>
          <w:u w:val="thick"/>
        </w:rPr>
        <w:t>mur</w:t>
      </w:r>
    </w:p>
    <w:p>
      <w:pPr>
        <w:spacing w:before="62"/>
        <w:ind w:left="466" w:right="0" w:firstLine="0"/>
        <w:jc w:val="left"/>
        <w:rPr>
          <w:b/>
          <w:sz w:val="56"/>
        </w:rPr>
      </w:pPr>
      <w:r>
        <w:rPr/>
        <w:br w:type="column"/>
      </w:r>
      <w:r>
        <w:rPr>
          <w:b/>
          <w:sz w:val="56"/>
        </w:rPr>
        <w:t>DT 8</w:t>
      </w:r>
    </w:p>
    <w:p>
      <w:pPr>
        <w:spacing w:after="0"/>
        <w:jc w:val="left"/>
        <w:rPr>
          <w:sz w:val="56"/>
        </w:rPr>
        <w:sectPr>
          <w:pgSz w:w="23820" w:h="16850" w:orient="landscape"/>
          <w:pgMar w:header="0" w:footer="802" w:top="520" w:bottom="1000" w:left="460" w:right="460"/>
          <w:cols w:num="2" w:equalWidth="0">
            <w:col w:w="6123" w:space="14656"/>
            <w:col w:w="2121"/>
          </w:cols>
        </w:sectPr>
      </w:pPr>
    </w:p>
    <w:p>
      <w:pPr>
        <w:pStyle w:val="BodyText"/>
        <w:rPr>
          <w:b/>
          <w:sz w:val="16"/>
        </w:rPr>
      </w:pPr>
    </w:p>
    <w:p>
      <w:pPr>
        <w:pStyle w:val="BodyText"/>
        <w:spacing w:before="93"/>
        <w:ind w:left="466"/>
      </w:pPr>
      <w:r>
        <w:rPr/>
        <w:t>Lors de l’exécution de la fouille, il faut veiller à ce que les deux conditions suivantes soient respectées.</w:t>
      </w:r>
    </w:p>
    <w:p>
      <w:pPr>
        <w:pStyle w:val="BodyText"/>
        <w:rPr>
          <w:sz w:val="26"/>
        </w:rPr>
      </w:pPr>
    </w:p>
    <w:p>
      <w:pPr>
        <w:pStyle w:val="BodyText"/>
        <w:rPr>
          <w:sz w:val="26"/>
        </w:rPr>
      </w:pPr>
    </w:p>
    <w:p>
      <w:pPr>
        <w:pStyle w:val="ListParagraph"/>
        <w:numPr>
          <w:ilvl w:val="1"/>
          <w:numId w:val="14"/>
        </w:numPr>
        <w:tabs>
          <w:tab w:pos="1186" w:val="left" w:leader="none"/>
          <w:tab w:pos="1187" w:val="left" w:leader="none"/>
        </w:tabs>
        <w:spacing w:line="240" w:lineRule="auto" w:before="230" w:after="0"/>
        <w:ind w:left="1186" w:right="0" w:hanging="720"/>
        <w:jc w:val="left"/>
        <w:rPr>
          <w:sz w:val="24"/>
        </w:rPr>
      </w:pPr>
      <w:r>
        <w:rPr>
          <w:sz w:val="24"/>
        </w:rPr>
        <w:t>Assurer “la mise hors-gel” du sol</w:t>
      </w:r>
      <w:r>
        <w:rPr>
          <w:spacing w:val="-4"/>
          <w:sz w:val="24"/>
        </w:rPr>
        <w:t> </w:t>
      </w:r>
      <w:r>
        <w:rPr>
          <w:sz w:val="24"/>
        </w:rPr>
        <w:t>d’assise.</w:t>
      </w:r>
    </w:p>
    <w:p>
      <w:pPr>
        <w:pStyle w:val="BodyText"/>
        <w:rPr>
          <w:sz w:val="20"/>
        </w:rPr>
      </w:pPr>
    </w:p>
    <w:p>
      <w:pPr>
        <w:pStyle w:val="BodyText"/>
        <w:spacing w:before="11"/>
        <w:rPr>
          <w:sz w:val="19"/>
        </w:rPr>
      </w:pPr>
    </w:p>
    <w:p>
      <w:pPr>
        <w:pStyle w:val="BodyText"/>
        <w:spacing w:before="92"/>
        <w:ind w:left="4551" w:right="12538"/>
      </w:pPr>
      <w:r>
        <w:rPr/>
        <w:drawing>
          <wp:anchor distT="0" distB="0" distL="0" distR="0" allowOverlap="1" layoutInCell="1" locked="0" behindDoc="0" simplePos="0" relativeHeight="1504">
            <wp:simplePos x="0" y="0"/>
            <wp:positionH relativeFrom="page">
              <wp:posOffset>617372</wp:posOffset>
            </wp:positionH>
            <wp:positionV relativeFrom="paragraph">
              <wp:posOffset>4760</wp:posOffset>
            </wp:positionV>
            <wp:extent cx="2114092" cy="1098307"/>
            <wp:effectExtent l="0" t="0" r="0" b="0"/>
            <wp:wrapNone/>
            <wp:docPr id="7" name="image9.jpeg" descr=""/>
            <wp:cNvGraphicFramePr>
              <a:graphicFrameLocks noChangeAspect="1"/>
            </wp:cNvGraphicFramePr>
            <a:graphic>
              <a:graphicData uri="http://schemas.openxmlformats.org/drawingml/2006/picture">
                <pic:pic>
                  <pic:nvPicPr>
                    <pic:cNvPr id="8" name="image9.jpeg"/>
                    <pic:cNvPicPr/>
                  </pic:nvPicPr>
                  <pic:blipFill>
                    <a:blip r:embed="rId17" cstate="print"/>
                    <a:stretch>
                      <a:fillRect/>
                    </a:stretch>
                  </pic:blipFill>
                  <pic:spPr>
                    <a:xfrm>
                      <a:off x="0" y="0"/>
                      <a:ext cx="2114092" cy="1098307"/>
                    </a:xfrm>
                    <a:prstGeom prst="rect">
                      <a:avLst/>
                    </a:prstGeom>
                  </pic:spPr>
                </pic:pic>
              </a:graphicData>
            </a:graphic>
          </wp:anchor>
        </w:drawing>
      </w:r>
      <w:r>
        <w:rPr/>
        <w:t>Le niveau de la fondation doit être descendu à une profondeur suffisante afin d’éviter tout risque de gel du sol d’assise.</w:t>
      </w:r>
    </w:p>
    <w:p>
      <w:pPr>
        <w:pStyle w:val="BodyText"/>
        <w:ind w:left="4551" w:right="12391"/>
      </w:pPr>
      <w:r>
        <w:rPr/>
        <w:t>Cette profondeur varie en fonction de la nature du sol et du climat.</w:t>
      </w:r>
    </w:p>
    <w:p>
      <w:pPr>
        <w:pStyle w:val="BodyText"/>
        <w:rPr>
          <w:sz w:val="20"/>
        </w:rPr>
      </w:pPr>
    </w:p>
    <w:p>
      <w:pPr>
        <w:pStyle w:val="BodyText"/>
        <w:rPr>
          <w:sz w:val="20"/>
        </w:rPr>
      </w:pPr>
    </w:p>
    <w:p>
      <w:pPr>
        <w:pStyle w:val="BodyText"/>
        <w:rPr>
          <w:sz w:val="20"/>
        </w:rPr>
      </w:pPr>
    </w:p>
    <w:p>
      <w:pPr>
        <w:pStyle w:val="BodyText"/>
        <w:rPr>
          <w:sz w:val="22"/>
        </w:rPr>
      </w:pPr>
    </w:p>
    <w:p>
      <w:pPr>
        <w:pStyle w:val="ListParagraph"/>
        <w:numPr>
          <w:ilvl w:val="1"/>
          <w:numId w:val="14"/>
        </w:numPr>
        <w:tabs>
          <w:tab w:pos="1186" w:val="left" w:leader="none"/>
          <w:tab w:pos="1187" w:val="left" w:leader="none"/>
        </w:tabs>
        <w:spacing w:line="240" w:lineRule="auto" w:before="93" w:after="0"/>
        <w:ind w:left="1186" w:right="0" w:hanging="720"/>
        <w:jc w:val="left"/>
        <w:rPr>
          <w:sz w:val="24"/>
        </w:rPr>
      </w:pPr>
      <w:r>
        <w:rPr>
          <w:sz w:val="24"/>
        </w:rPr>
        <w:t>Assurer une portance suffisante du sol</w:t>
      </w:r>
      <w:r>
        <w:rPr>
          <w:spacing w:val="-5"/>
          <w:sz w:val="24"/>
        </w:rPr>
        <w:t> </w:t>
      </w:r>
      <w:r>
        <w:rPr>
          <w:sz w:val="24"/>
        </w:rPr>
        <w:t>d’assise.</w:t>
      </w:r>
    </w:p>
    <w:p>
      <w:pPr>
        <w:pStyle w:val="BodyText"/>
        <w:rPr>
          <w:sz w:val="26"/>
        </w:rPr>
      </w:pPr>
    </w:p>
    <w:p>
      <w:pPr>
        <w:pStyle w:val="BodyText"/>
        <w:spacing w:before="154"/>
        <w:ind w:left="5031" w:right="12458"/>
      </w:pPr>
      <w:r>
        <w:rPr/>
        <w:drawing>
          <wp:anchor distT="0" distB="0" distL="0" distR="0" allowOverlap="1" layoutInCell="1" locked="0" behindDoc="0" simplePos="0" relativeHeight="1528">
            <wp:simplePos x="0" y="0"/>
            <wp:positionH relativeFrom="page">
              <wp:posOffset>704808</wp:posOffset>
            </wp:positionH>
            <wp:positionV relativeFrom="paragraph">
              <wp:posOffset>-6865</wp:posOffset>
            </wp:positionV>
            <wp:extent cx="2335964" cy="1300031"/>
            <wp:effectExtent l="0" t="0" r="0" b="0"/>
            <wp:wrapNone/>
            <wp:docPr id="9" name="image10.jpeg" descr=""/>
            <wp:cNvGraphicFramePr>
              <a:graphicFrameLocks noChangeAspect="1"/>
            </wp:cNvGraphicFramePr>
            <a:graphic>
              <a:graphicData uri="http://schemas.openxmlformats.org/drawingml/2006/picture">
                <pic:pic>
                  <pic:nvPicPr>
                    <pic:cNvPr id="10" name="image10.jpeg"/>
                    <pic:cNvPicPr/>
                  </pic:nvPicPr>
                  <pic:blipFill>
                    <a:blip r:embed="rId18" cstate="print"/>
                    <a:stretch>
                      <a:fillRect/>
                    </a:stretch>
                  </pic:blipFill>
                  <pic:spPr>
                    <a:xfrm>
                      <a:off x="0" y="0"/>
                      <a:ext cx="2335964" cy="1300031"/>
                    </a:xfrm>
                    <a:prstGeom prst="rect">
                      <a:avLst/>
                    </a:prstGeom>
                  </pic:spPr>
                </pic:pic>
              </a:graphicData>
            </a:graphic>
          </wp:anchor>
        </w:drawing>
      </w:r>
      <w:r>
        <w:rPr/>
        <w:t>Le niveau de la fondation doit être descendu à une profondeur où le sol présente une portance</w:t>
      </w:r>
    </w:p>
    <w:p>
      <w:pPr>
        <w:pStyle w:val="BodyText"/>
        <w:ind w:left="5031"/>
      </w:pPr>
      <w:r>
        <w:rPr/>
        <w:t>suffisante pour recevoir l’ouvrage.</w:t>
      </w:r>
    </w:p>
    <w:p>
      <w:pPr>
        <w:pStyle w:val="BodyText"/>
        <w:ind w:left="5031" w:right="12472"/>
      </w:pPr>
      <w:r>
        <w:rPr/>
        <w:t>Pour éviter tout risque de poinçonnement et de rupture du sol d’assise, la contrainte admissible du sol d’assise doit être au minimum égale à celle prise en compte dans l’étude de stabilité.</w:t>
      </w:r>
    </w:p>
    <w:p>
      <w:pPr>
        <w:pStyle w:val="BodyText"/>
        <w:spacing w:before="7"/>
      </w:pPr>
    </w:p>
    <w:p>
      <w:pPr>
        <w:pStyle w:val="Heading2"/>
        <w:numPr>
          <w:ilvl w:val="0"/>
          <w:numId w:val="14"/>
        </w:numPr>
        <w:tabs>
          <w:tab w:pos="815" w:val="left" w:leader="none"/>
        </w:tabs>
        <w:spacing w:line="240" w:lineRule="auto" w:before="92" w:after="0"/>
        <w:ind w:left="814" w:right="0" w:hanging="348"/>
        <w:jc w:val="left"/>
      </w:pPr>
      <w:r>
        <w:rPr>
          <w:u w:val="thick"/>
        </w:rPr>
        <w:t>Exécution de la semelle de</w:t>
      </w:r>
      <w:r>
        <w:rPr>
          <w:spacing w:val="-5"/>
          <w:u w:val="thick"/>
        </w:rPr>
        <w:t> </w:t>
      </w:r>
      <w:r>
        <w:rPr>
          <w:u w:val="thick"/>
        </w:rPr>
        <w:t>fondation</w:t>
      </w:r>
    </w:p>
    <w:p>
      <w:pPr>
        <w:pStyle w:val="BodyText"/>
        <w:rPr>
          <w:b/>
          <w:sz w:val="16"/>
        </w:rPr>
      </w:pPr>
    </w:p>
    <w:p>
      <w:pPr>
        <w:pStyle w:val="BodyText"/>
        <w:spacing w:before="92"/>
        <w:ind w:left="466" w:right="3590"/>
      </w:pPr>
      <w:r>
        <w:rPr/>
        <w:t>En fonction de la portance du terrain, la semelle de fondation du mur doit être suffisamment dimensionnée afin d’assurer une répartition des charges au sol d’assise “admissible”. Selon la nature du terrain, et l’importance des sollicitations dont il fait l’objet, la semelle pourra être constituée :</w:t>
      </w:r>
    </w:p>
    <w:p>
      <w:pPr>
        <w:pStyle w:val="ListParagraph"/>
        <w:numPr>
          <w:ilvl w:val="1"/>
          <w:numId w:val="14"/>
        </w:numPr>
        <w:tabs>
          <w:tab w:pos="934" w:val="left" w:leader="none"/>
        </w:tabs>
        <w:spacing w:line="240" w:lineRule="auto" w:before="0" w:after="0"/>
        <w:ind w:left="933" w:right="0" w:hanging="467"/>
        <w:jc w:val="left"/>
        <w:rPr>
          <w:sz w:val="24"/>
        </w:rPr>
      </w:pPr>
      <w:r>
        <w:rPr>
          <w:sz w:val="24"/>
        </w:rPr>
        <w:t>en grave ciment pour des sols homogènes de bonne capacité portante et pour des ouvrages peu chargés d’une hauteur de soutènement limitée à 2,00</w:t>
      </w:r>
      <w:r>
        <w:rPr>
          <w:spacing w:val="-27"/>
          <w:sz w:val="24"/>
        </w:rPr>
        <w:t> </w:t>
      </w:r>
      <w:r>
        <w:rPr>
          <w:sz w:val="24"/>
        </w:rPr>
        <w:t>mètres,</w:t>
      </w:r>
    </w:p>
    <w:p>
      <w:pPr>
        <w:pStyle w:val="ListParagraph"/>
        <w:numPr>
          <w:ilvl w:val="1"/>
          <w:numId w:val="14"/>
        </w:numPr>
        <w:tabs>
          <w:tab w:pos="934" w:val="left" w:leader="none"/>
        </w:tabs>
        <w:spacing w:line="240" w:lineRule="auto" w:before="0" w:after="0"/>
        <w:ind w:left="933" w:right="0" w:hanging="467"/>
        <w:jc w:val="left"/>
        <w:rPr>
          <w:sz w:val="24"/>
        </w:rPr>
      </w:pPr>
      <w:r>
        <w:rPr>
          <w:sz w:val="24"/>
        </w:rPr>
        <w:t>en béton non armé pour les cas les plus courants (dosage en ciment à 250</w:t>
      </w:r>
      <w:r>
        <w:rPr>
          <w:spacing w:val="-19"/>
          <w:sz w:val="24"/>
        </w:rPr>
        <w:t> </w:t>
      </w:r>
      <w:r>
        <w:rPr>
          <w:sz w:val="24"/>
        </w:rPr>
        <w:t>kg/m³)</w:t>
      </w:r>
    </w:p>
    <w:p>
      <w:pPr>
        <w:pStyle w:val="ListParagraph"/>
        <w:numPr>
          <w:ilvl w:val="1"/>
          <w:numId w:val="14"/>
        </w:numPr>
        <w:tabs>
          <w:tab w:pos="934" w:val="left" w:leader="none"/>
        </w:tabs>
        <w:spacing w:line="240" w:lineRule="auto" w:before="0" w:after="0"/>
        <w:ind w:left="933" w:right="0" w:hanging="467"/>
        <w:jc w:val="left"/>
        <w:rPr>
          <w:sz w:val="24"/>
        </w:rPr>
      </w:pPr>
      <w:r>
        <w:rPr>
          <w:sz w:val="24"/>
        </w:rPr>
        <w:t>en béton armé pour des sols hétérogènes et de faible capacité portante (le ferraillage devra être justifié par le</w:t>
      </w:r>
      <w:r>
        <w:rPr>
          <w:spacing w:val="-16"/>
          <w:sz w:val="24"/>
        </w:rPr>
        <w:t> </w:t>
      </w:r>
      <w:r>
        <w:rPr>
          <w:sz w:val="24"/>
        </w:rPr>
        <w:t>calcul).</w:t>
      </w:r>
    </w:p>
    <w:p>
      <w:pPr>
        <w:pStyle w:val="BodyText"/>
        <w:rPr>
          <w:sz w:val="20"/>
        </w:rPr>
      </w:pPr>
    </w:p>
    <w:p>
      <w:pPr>
        <w:pStyle w:val="BodyText"/>
        <w:rPr>
          <w:sz w:val="20"/>
        </w:rPr>
      </w:pPr>
    </w:p>
    <w:p>
      <w:pPr>
        <w:pStyle w:val="BodyText"/>
        <w:rPr>
          <w:sz w:val="20"/>
        </w:rPr>
      </w:pPr>
    </w:p>
    <w:p>
      <w:pPr>
        <w:pStyle w:val="BodyText"/>
        <w:spacing w:before="10"/>
        <w:rPr>
          <w:sz w:val="21"/>
        </w:rPr>
      </w:pPr>
    </w:p>
    <w:p>
      <w:pPr>
        <w:pStyle w:val="BodyText"/>
        <w:ind w:left="5967" w:right="12693"/>
        <w:jc w:val="both"/>
      </w:pPr>
      <w:r>
        <w:rPr/>
        <w:drawing>
          <wp:anchor distT="0" distB="0" distL="0" distR="0" allowOverlap="1" layoutInCell="1" locked="0" behindDoc="0" simplePos="0" relativeHeight="1552">
            <wp:simplePos x="0" y="0"/>
            <wp:positionH relativeFrom="page">
              <wp:posOffset>492766</wp:posOffset>
            </wp:positionH>
            <wp:positionV relativeFrom="paragraph">
              <wp:posOffset>-158675</wp:posOffset>
            </wp:positionV>
            <wp:extent cx="3217216" cy="1349527"/>
            <wp:effectExtent l="0" t="0" r="0" b="0"/>
            <wp:wrapNone/>
            <wp:docPr id="11" name="image11.jpeg" descr=""/>
            <wp:cNvGraphicFramePr>
              <a:graphicFrameLocks noChangeAspect="1"/>
            </wp:cNvGraphicFramePr>
            <a:graphic>
              <a:graphicData uri="http://schemas.openxmlformats.org/drawingml/2006/picture">
                <pic:pic>
                  <pic:nvPicPr>
                    <pic:cNvPr id="12" name="image11.jpeg"/>
                    <pic:cNvPicPr/>
                  </pic:nvPicPr>
                  <pic:blipFill>
                    <a:blip r:embed="rId19" cstate="print"/>
                    <a:stretch>
                      <a:fillRect/>
                    </a:stretch>
                  </pic:blipFill>
                  <pic:spPr>
                    <a:xfrm>
                      <a:off x="0" y="0"/>
                      <a:ext cx="3217216" cy="1349527"/>
                    </a:xfrm>
                    <a:prstGeom prst="rect">
                      <a:avLst/>
                    </a:prstGeom>
                  </pic:spPr>
                </pic:pic>
              </a:graphicData>
            </a:graphic>
          </wp:anchor>
        </w:drawing>
      </w:r>
      <w:r>
        <w:rPr/>
        <w:t>Prévoir un débordement de 15 à 20 cm de part et d’autre hors-gel de la semelle de l’élément, afin d’en faciliter la pose.</w:t>
      </w:r>
    </w:p>
    <w:p>
      <w:pPr>
        <w:spacing w:after="0"/>
        <w:jc w:val="both"/>
        <w:sectPr>
          <w:type w:val="continuous"/>
          <w:pgSz w:w="23820" w:h="16850" w:orient="landscape"/>
          <w:pgMar w:top="860" w:bottom="1220" w:left="460" w:right="460"/>
        </w:sectPr>
      </w:pPr>
    </w:p>
    <w:p>
      <w:pPr>
        <w:pStyle w:val="BodyText"/>
        <w:spacing w:before="1"/>
        <w:rPr>
          <w:sz w:val="27"/>
        </w:rPr>
      </w:pPr>
    </w:p>
    <w:p>
      <w:pPr>
        <w:pStyle w:val="Heading2"/>
        <w:numPr>
          <w:ilvl w:val="0"/>
          <w:numId w:val="14"/>
        </w:numPr>
        <w:tabs>
          <w:tab w:pos="815" w:val="left" w:leader="none"/>
        </w:tabs>
        <w:spacing w:line="240" w:lineRule="auto" w:before="0" w:after="0"/>
        <w:ind w:left="814" w:right="0" w:hanging="348"/>
        <w:jc w:val="left"/>
      </w:pPr>
      <w:r>
        <w:rPr>
          <w:u w:val="thick"/>
        </w:rPr>
        <w:t>Dispositions constructives limitant le glissement du</w:t>
      </w:r>
      <w:r>
        <w:rPr>
          <w:spacing w:val="3"/>
          <w:u w:val="thick"/>
        </w:rPr>
        <w:t> </w:t>
      </w:r>
      <w:r>
        <w:rPr>
          <w:u w:val="thick"/>
        </w:rPr>
        <w:t>mur</w:t>
      </w:r>
    </w:p>
    <w:p>
      <w:pPr>
        <w:pStyle w:val="BodyText"/>
        <w:rPr>
          <w:b/>
        </w:rPr>
      </w:pPr>
    </w:p>
    <w:p>
      <w:pPr>
        <w:pStyle w:val="BodyText"/>
        <w:ind w:left="466"/>
      </w:pPr>
      <w:r>
        <w:rPr/>
        <w:t>Il est conseillé d’exécuter l’une des deux dispositions suivantes avant de procéder au remblaiement :</w:t>
      </w:r>
    </w:p>
    <w:p>
      <w:pPr>
        <w:pStyle w:val="ListParagraph"/>
        <w:numPr>
          <w:ilvl w:val="1"/>
          <w:numId w:val="14"/>
        </w:numPr>
        <w:tabs>
          <w:tab w:pos="937" w:val="left" w:leader="none"/>
        </w:tabs>
        <w:spacing w:line="240" w:lineRule="auto" w:before="0" w:after="0"/>
        <w:ind w:left="936" w:right="0" w:hanging="470"/>
        <w:jc w:val="left"/>
        <w:rPr>
          <w:sz w:val="24"/>
        </w:rPr>
      </w:pPr>
      <w:r>
        <w:rPr>
          <w:sz w:val="24"/>
        </w:rPr>
        <w:t>Mise en oeuvre d’une butée frontale devant</w:t>
      </w:r>
      <w:r>
        <w:rPr>
          <w:spacing w:val="-9"/>
          <w:sz w:val="24"/>
        </w:rPr>
        <w:t> </w:t>
      </w:r>
      <w:r>
        <w:rPr>
          <w:sz w:val="24"/>
        </w:rPr>
        <w:t>l’élément,</w:t>
      </w:r>
    </w:p>
    <w:p>
      <w:pPr>
        <w:pStyle w:val="ListParagraph"/>
        <w:numPr>
          <w:ilvl w:val="1"/>
          <w:numId w:val="14"/>
        </w:numPr>
        <w:tabs>
          <w:tab w:pos="934" w:val="left" w:leader="none"/>
        </w:tabs>
        <w:spacing w:line="240" w:lineRule="auto" w:before="0" w:after="0"/>
        <w:ind w:left="933" w:right="0" w:hanging="467"/>
        <w:jc w:val="left"/>
        <w:rPr>
          <w:sz w:val="24"/>
        </w:rPr>
      </w:pPr>
      <w:r>
        <w:rPr>
          <w:sz w:val="24"/>
        </w:rPr>
        <w:t>ou brochage de l’élément à la fondation par des aciers de liaison (des réservations sont prévues à cet effet dans la semelle des</w:t>
      </w:r>
      <w:r>
        <w:rPr>
          <w:spacing w:val="-48"/>
          <w:sz w:val="24"/>
        </w:rPr>
        <w:t> </w:t>
      </w:r>
      <w:r>
        <w:rPr>
          <w:sz w:val="24"/>
        </w:rPr>
        <w:t>murs des gammes II et III uniquement).</w:t>
      </w:r>
    </w:p>
    <w:p>
      <w:pPr>
        <w:pStyle w:val="Heading1"/>
        <w:spacing w:before="59"/>
        <w:ind w:left="466"/>
      </w:pPr>
      <w:r>
        <w:rPr>
          <w:b w:val="0"/>
        </w:rPr>
        <w:br w:type="column"/>
      </w:r>
      <w:r>
        <w:rPr/>
        <w:t>DT 9</w:t>
      </w:r>
    </w:p>
    <w:p>
      <w:pPr>
        <w:spacing w:after="0"/>
        <w:sectPr>
          <w:pgSz w:w="23820" w:h="16850" w:orient="landscape"/>
          <w:pgMar w:header="0" w:footer="802" w:top="540" w:bottom="1000" w:left="460" w:right="460"/>
          <w:cols w:num="2" w:equalWidth="0">
            <w:col w:w="18738" w:space="1931"/>
            <w:col w:w="2231"/>
          </w:cols>
        </w:sectPr>
      </w:pPr>
    </w:p>
    <w:p>
      <w:pPr>
        <w:pStyle w:val="BodyText"/>
        <w:rPr>
          <w:b/>
          <w:sz w:val="20"/>
        </w:rPr>
      </w:pPr>
    </w:p>
    <w:p>
      <w:pPr>
        <w:pStyle w:val="BodyText"/>
        <w:spacing w:before="9"/>
        <w:rPr>
          <w:b/>
          <w:sz w:val="16"/>
        </w:rPr>
      </w:pPr>
    </w:p>
    <w:p>
      <w:pPr>
        <w:pStyle w:val="BodyText"/>
        <w:ind w:left="1047"/>
        <w:rPr>
          <w:sz w:val="20"/>
        </w:rPr>
      </w:pPr>
      <w:r>
        <w:rPr>
          <w:sz w:val="20"/>
        </w:rPr>
        <w:drawing>
          <wp:inline distT="0" distB="0" distL="0" distR="0">
            <wp:extent cx="2956639" cy="1909667"/>
            <wp:effectExtent l="0" t="0" r="0" b="0"/>
            <wp:docPr id="13" name="image12.jpeg" descr=""/>
            <wp:cNvGraphicFramePr>
              <a:graphicFrameLocks noChangeAspect="1"/>
            </wp:cNvGraphicFramePr>
            <a:graphic>
              <a:graphicData uri="http://schemas.openxmlformats.org/drawingml/2006/picture">
                <pic:pic>
                  <pic:nvPicPr>
                    <pic:cNvPr id="14" name="image12.jpeg"/>
                    <pic:cNvPicPr/>
                  </pic:nvPicPr>
                  <pic:blipFill>
                    <a:blip r:embed="rId20" cstate="print"/>
                    <a:stretch>
                      <a:fillRect/>
                    </a:stretch>
                  </pic:blipFill>
                  <pic:spPr>
                    <a:xfrm>
                      <a:off x="0" y="0"/>
                      <a:ext cx="2956639" cy="1909667"/>
                    </a:xfrm>
                    <a:prstGeom prst="rect">
                      <a:avLst/>
                    </a:prstGeom>
                  </pic:spPr>
                </pic:pic>
              </a:graphicData>
            </a:graphic>
          </wp:inline>
        </w:drawing>
      </w:r>
      <w:r>
        <w:rPr>
          <w:sz w:val="20"/>
        </w:rPr>
      </w:r>
    </w:p>
    <w:p>
      <w:pPr>
        <w:pStyle w:val="BodyText"/>
        <w:spacing w:before="8"/>
        <w:rPr>
          <w:b/>
          <w:sz w:val="15"/>
        </w:rPr>
      </w:pPr>
    </w:p>
    <w:p>
      <w:pPr>
        <w:pStyle w:val="Heading2"/>
        <w:numPr>
          <w:ilvl w:val="0"/>
          <w:numId w:val="14"/>
        </w:numPr>
        <w:tabs>
          <w:tab w:pos="815" w:val="left" w:leader="none"/>
        </w:tabs>
        <w:spacing w:line="240" w:lineRule="auto" w:before="92" w:after="0"/>
        <w:ind w:left="814" w:right="0" w:hanging="348"/>
        <w:jc w:val="left"/>
      </w:pPr>
      <w:r>
        <w:rPr>
          <w:u w:val="thick"/>
        </w:rPr>
        <w:t>Conditions de</w:t>
      </w:r>
      <w:r>
        <w:rPr>
          <w:spacing w:val="-1"/>
          <w:u w:val="thick"/>
        </w:rPr>
        <w:t> </w:t>
      </w:r>
      <w:r>
        <w:rPr>
          <w:u w:val="thick"/>
        </w:rPr>
        <w:t>Drainage</w:t>
      </w:r>
    </w:p>
    <w:p>
      <w:pPr>
        <w:pStyle w:val="BodyText"/>
        <w:rPr>
          <w:b/>
          <w:sz w:val="16"/>
        </w:rPr>
      </w:pPr>
    </w:p>
    <w:p>
      <w:pPr>
        <w:pStyle w:val="BodyText"/>
        <w:spacing w:before="93"/>
        <w:ind w:left="466" w:right="722"/>
      </w:pPr>
      <w:r>
        <w:rPr/>
        <w:t>Le système de drainage doit être conçu de façon à limiter le risque de développement de pressions interstitielles derrière le mur. C’est la raison pour laquelle il est important que les eaux d’infiltration soient collectées et évacuées par un dispositif de drainage efficace et adapté à la perméabilité du terrain. Il existe de nombreux systèmes de collecte des eaux souterraines qui peuvent être mis en oeuvre, et le schéma ci-dessous représente une solution couramment adoptée dans le cas d’un remblaiement avec un matériau perméable.</w:t>
      </w:r>
    </w:p>
    <w:p>
      <w:pPr>
        <w:pStyle w:val="BodyText"/>
        <w:spacing w:before="5"/>
        <w:rPr>
          <w:sz w:val="20"/>
        </w:rPr>
      </w:pPr>
      <w:r>
        <w:rPr/>
        <w:drawing>
          <wp:anchor distT="0" distB="0" distL="0" distR="0" allowOverlap="1" layoutInCell="1" locked="0" behindDoc="0" simplePos="0" relativeHeight="24">
            <wp:simplePos x="0" y="0"/>
            <wp:positionH relativeFrom="page">
              <wp:posOffset>959361</wp:posOffset>
            </wp:positionH>
            <wp:positionV relativeFrom="paragraph">
              <wp:posOffset>174122</wp:posOffset>
            </wp:positionV>
            <wp:extent cx="4171111" cy="1646491"/>
            <wp:effectExtent l="0" t="0" r="0" b="0"/>
            <wp:wrapTopAndBottom/>
            <wp:docPr id="15" name="image13.jpeg" descr=""/>
            <wp:cNvGraphicFramePr>
              <a:graphicFrameLocks noChangeAspect="1"/>
            </wp:cNvGraphicFramePr>
            <a:graphic>
              <a:graphicData uri="http://schemas.openxmlformats.org/drawingml/2006/picture">
                <pic:pic>
                  <pic:nvPicPr>
                    <pic:cNvPr id="16" name="image13.jpeg"/>
                    <pic:cNvPicPr/>
                  </pic:nvPicPr>
                  <pic:blipFill>
                    <a:blip r:embed="rId21" cstate="print"/>
                    <a:stretch>
                      <a:fillRect/>
                    </a:stretch>
                  </pic:blipFill>
                  <pic:spPr>
                    <a:xfrm>
                      <a:off x="0" y="0"/>
                      <a:ext cx="4171111" cy="1646491"/>
                    </a:xfrm>
                    <a:prstGeom prst="rect">
                      <a:avLst/>
                    </a:prstGeom>
                  </pic:spPr>
                </pic:pic>
              </a:graphicData>
            </a:graphic>
          </wp:anchor>
        </w:drawing>
      </w:r>
    </w:p>
    <w:p>
      <w:pPr>
        <w:pStyle w:val="BodyText"/>
        <w:spacing w:line="252" w:lineRule="exact"/>
        <w:ind w:left="466"/>
      </w:pPr>
      <w:r>
        <w:rPr/>
        <w:t>.1. Constitution du Drain</w:t>
      </w:r>
    </w:p>
    <w:p>
      <w:pPr>
        <w:pStyle w:val="BodyText"/>
        <w:spacing w:line="281" w:lineRule="exact"/>
        <w:ind w:left="713"/>
      </w:pPr>
      <w:r>
        <w:rPr/>
        <w:pict>
          <v:group style="position:absolute;margin-left:46.32pt;margin-top:.589689pt;width:18pt;height:27.4pt;mso-position-horizontal-relative:page;mso-position-vertical-relative:paragraph;z-index:-15736" coordorigin="926,12" coordsize="360,548">
            <v:shape style="position:absolute;left:926;top:11;width:360;height:269" type="#_x0000_t75" stroked="false">
              <v:imagedata r:id="rId22" o:title=""/>
            </v:shape>
            <v:shape style="position:absolute;left:926;top:290;width:360;height:269" type="#_x0000_t75" stroked="false">
              <v:imagedata r:id="rId22" o:title=""/>
            </v:shape>
            <w10:wrap type="none"/>
          </v:group>
        </w:pict>
      </w:r>
      <w:r>
        <w:rPr/>
        <w:t>Un collecteur longitudinal perforé, de diamètre adapté aux arrivées d’eaux (</w:t>
      </w:r>
      <w:r>
        <w:rPr>
          <w:rFonts w:ascii="Cambria Math" w:hAnsi="Cambria Math"/>
        </w:rPr>
        <w:t>∅ </w:t>
      </w:r>
      <w:r>
        <w:rPr/>
        <w:t>125 mini.),</w:t>
      </w:r>
    </w:p>
    <w:p>
      <w:pPr>
        <w:pStyle w:val="BodyText"/>
        <w:ind w:left="466" w:right="1221" w:firstLine="247"/>
      </w:pPr>
      <w:r>
        <w:rPr/>
        <w:t>Une couche suffisante de matériau drainant enrobant le drain, et éventuellement elle-même recouverte d’un géotextile anti-contaminant assurant une protection supplémentaire contre les risques de colmatage du collecteur.</w:t>
      </w:r>
    </w:p>
    <w:p>
      <w:pPr>
        <w:pStyle w:val="BodyText"/>
        <w:ind w:left="466"/>
      </w:pPr>
      <w:r>
        <w:rPr/>
        <w:t>Il est conseillé d’utiliser un matériau de remblai perméable afin de faciliter l’évacuation des eaux d’infiltration.</w:t>
      </w:r>
    </w:p>
    <w:p>
      <w:pPr>
        <w:pStyle w:val="BodyText"/>
      </w:pPr>
    </w:p>
    <w:p>
      <w:pPr>
        <w:pStyle w:val="Heading2"/>
        <w:numPr>
          <w:ilvl w:val="0"/>
          <w:numId w:val="14"/>
        </w:numPr>
        <w:tabs>
          <w:tab w:pos="815" w:val="left" w:leader="none"/>
        </w:tabs>
        <w:spacing w:line="240" w:lineRule="auto" w:before="0" w:after="0"/>
        <w:ind w:left="814" w:right="0" w:hanging="348"/>
        <w:jc w:val="left"/>
      </w:pPr>
      <w:r>
        <w:rPr>
          <w:u w:val="thick"/>
        </w:rPr>
        <w:t>La Pose du</w:t>
      </w:r>
      <w:r>
        <w:rPr>
          <w:spacing w:val="-2"/>
          <w:u w:val="thick"/>
        </w:rPr>
        <w:t> </w:t>
      </w:r>
      <w:r>
        <w:rPr>
          <w:u w:val="thick"/>
        </w:rPr>
        <w:t>Mur</w:t>
      </w:r>
    </w:p>
    <w:p>
      <w:pPr>
        <w:pStyle w:val="BodyText"/>
        <w:rPr>
          <w:b/>
          <w:sz w:val="16"/>
        </w:rPr>
      </w:pPr>
    </w:p>
    <w:p>
      <w:pPr>
        <w:pStyle w:val="BodyText"/>
        <w:spacing w:before="92"/>
        <w:ind w:left="466" w:right="868"/>
      </w:pPr>
      <w:r>
        <w:rPr/>
        <w:drawing>
          <wp:anchor distT="0" distB="0" distL="0" distR="0" allowOverlap="1" layoutInCell="1" locked="0" behindDoc="0" simplePos="0" relativeHeight="25">
            <wp:simplePos x="0" y="0"/>
            <wp:positionH relativeFrom="page">
              <wp:posOffset>765267</wp:posOffset>
            </wp:positionH>
            <wp:positionV relativeFrom="paragraph">
              <wp:posOffset>455107</wp:posOffset>
            </wp:positionV>
            <wp:extent cx="2905798" cy="1489900"/>
            <wp:effectExtent l="0" t="0" r="0" b="0"/>
            <wp:wrapTopAndBottom/>
            <wp:docPr id="17" name="image15.jpeg" descr=""/>
            <wp:cNvGraphicFramePr>
              <a:graphicFrameLocks noChangeAspect="1"/>
            </wp:cNvGraphicFramePr>
            <a:graphic>
              <a:graphicData uri="http://schemas.openxmlformats.org/drawingml/2006/picture">
                <pic:pic>
                  <pic:nvPicPr>
                    <pic:cNvPr id="18" name="image15.jpeg"/>
                    <pic:cNvPicPr/>
                  </pic:nvPicPr>
                  <pic:blipFill>
                    <a:blip r:embed="rId23" cstate="print"/>
                    <a:stretch>
                      <a:fillRect/>
                    </a:stretch>
                  </pic:blipFill>
                  <pic:spPr>
                    <a:xfrm>
                      <a:off x="0" y="0"/>
                      <a:ext cx="2905798" cy="1489900"/>
                    </a:xfrm>
                    <a:prstGeom prst="rect">
                      <a:avLst/>
                    </a:prstGeom>
                  </pic:spPr>
                </pic:pic>
              </a:graphicData>
            </a:graphic>
          </wp:anchor>
        </w:drawing>
      </w:r>
      <w:r>
        <w:rPr/>
        <w:t>Les Murs doivent être posés de préférence sur un lit de mortier sec convenablement réglé, permettant ainsi une meilleure mise en place des éléments et la correction d’éventuels défauts de planéité de la semelle de fondation.</w:t>
      </w:r>
    </w:p>
    <w:p>
      <w:pPr>
        <w:spacing w:after="0"/>
        <w:sectPr>
          <w:type w:val="continuous"/>
          <w:pgSz w:w="23820" w:h="16850" w:orient="landscape"/>
          <w:pgMar w:top="860" w:bottom="1220" w:left="460" w:right="460"/>
        </w:sectPr>
      </w:pPr>
    </w:p>
    <w:p>
      <w:pPr>
        <w:pStyle w:val="Heading1"/>
        <w:spacing w:before="57"/>
        <w:ind w:right="238"/>
        <w:jc w:val="right"/>
      </w:pPr>
      <w:r>
        <w:rPr/>
        <w:t>DT 10</w:t>
      </w:r>
    </w:p>
    <w:p>
      <w:pPr>
        <w:pStyle w:val="BodyText"/>
        <w:spacing w:before="5"/>
        <w:rPr>
          <w:b/>
          <w:sz w:val="15"/>
        </w:rPr>
      </w:pPr>
      <w:r>
        <w:rPr/>
        <w:pict>
          <v:group style="position:absolute;margin-left:329.024994pt;margin-top:11.35471pt;width:482.4pt;height:412.5pt;mso-position-horizontal-relative:page;mso-position-vertical-relative:paragraph;z-index:-352;mso-wrap-distance-left:0;mso-wrap-distance-right:0" coordorigin="6580,227" coordsize="9648,8250">
            <v:shape style="position:absolute;left:7108;top:227;width:9120;height:8250" type="#_x0000_t75" stroked="false">
              <v:imagedata r:id="rId24" o:title=""/>
            </v:shape>
            <v:shape style="position:absolute;left:8109;top:3316;width:2443;height:1613" coordorigin="8110,3317" coordsize="2443,1613" path="m10446,4872l10419,4913,10552,4929,10525,4883,10463,4883,10446,4872xm10457,4855l10446,4872,10463,4883,10474,4866,10457,4855xm10485,4813l10457,4855,10474,4866,10463,4883,10525,4883,10485,4813xm8120,3317l8110,3334,10446,4872,10457,4855,8120,3317xe" filled="true" fillcolor="#000000" stroked="false">
              <v:path arrowok="t"/>
              <v:fill type="solid"/>
            </v:shape>
            <v:shape style="position:absolute;left:6588;top:2709;width:1527;height:741" type="#_x0000_t202" filled="false" stroked="true" strokeweight=".75pt" strokecolor="#000000">
              <v:textbox inset="0,0,0,0">
                <w:txbxContent>
                  <w:p>
                    <w:pPr>
                      <w:spacing w:before="72"/>
                      <w:ind w:left="144" w:right="203" w:firstLine="0"/>
                      <w:jc w:val="left"/>
                      <w:rPr>
                        <w:rFonts w:ascii="Times New Roman"/>
                        <w:sz w:val="20"/>
                      </w:rPr>
                    </w:pPr>
                    <w:r>
                      <w:rPr>
                        <w:rFonts w:ascii="Times New Roman"/>
                        <w:sz w:val="20"/>
                      </w:rPr>
                      <w:t>Le Plessis aux moines</w:t>
                    </w:r>
                  </w:p>
                </w:txbxContent>
              </v:textbox>
              <v:stroke dashstyle="solid"/>
              <w10:wrap type="none"/>
            </v:shape>
            <w10:wrap type="topAndBottom"/>
          </v:group>
        </w:pict>
      </w:r>
    </w:p>
    <w:sectPr>
      <w:pgSz w:w="23820" w:h="16850" w:orient="landscape"/>
      <w:pgMar w:header="0" w:footer="802" w:top="960" w:bottom="1000" w:left="460" w:right="4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Symbol">
    <w:altName w:val="Symbol"/>
    <w:charset w:val="2"/>
    <w:family w:val="roman"/>
    <w:pitch w:val="variable"/>
  </w:font>
  <w:font w:name="Wingdings">
    <w:altName w:val="Wingdings"/>
    <w:charset w:val="2"/>
    <w:family w:val="auto"/>
    <w:pitch w:val="variable"/>
  </w:font>
  <w:font w:name="Cambria Math">
    <w:altName w:val="Cambria Math"/>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669.51001pt;margin-top:779.416687pt;width:493.85pt;height:15.45pt;mso-position-horizontal-relative:page;mso-position-vertical-relative:page;z-index:-16360" type="#_x0000_t202" filled="false" stroked="false">
          <v:textbox inset="0,0,0,0">
            <w:txbxContent>
              <w:p>
                <w:pPr>
                  <w:pStyle w:val="BodyText"/>
                  <w:tabs>
                    <w:tab w:pos="9383" w:val="left" w:leader="none"/>
                  </w:tabs>
                  <w:spacing w:before="12"/>
                  <w:ind w:left="20"/>
                </w:pPr>
                <w:r>
                  <w:rPr>
                    <w:w w:val="100"/>
                    <w:u w:val="single"/>
                  </w:rPr>
                  <w:t> </w:t>
                </w:r>
                <w:r>
                  <w:rPr>
                    <w:u w:val="single"/>
                  </w:rPr>
                  <w:tab/>
                </w:r>
                <w:r>
                  <w:rPr/>
                  <w:t>1/11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32.909973pt;margin-top:790.936707pt;width:530.550pt;height:15.45pt;mso-position-horizontal-relative:page;mso-position-vertical-relative:page;z-index:-16336" type="#_x0000_t202" filled="false" stroked="false">
          <v:textbox inset="0,0,0,0">
            <w:txbxContent>
              <w:p>
                <w:pPr>
                  <w:pStyle w:val="BodyText"/>
                  <w:tabs>
                    <w:tab w:pos="10118" w:val="left" w:leader="none"/>
                  </w:tabs>
                  <w:spacing w:before="12"/>
                  <w:ind w:left="20"/>
                </w:pPr>
                <w:r>
                  <w:rPr>
                    <w:w w:val="100"/>
                    <w:u w:val="single"/>
                  </w:rPr>
                  <w:t> </w:t>
                </w:r>
                <w:r>
                  <w:rPr>
                    <w:u w:val="single"/>
                  </w:rPr>
                  <w:tab/>
                </w:r>
                <w:r>
                  <w:rPr/>
                  <w:t>2/11</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26.190002pt;margin-top:790.936707pt;width:537.4pt;height:15.45pt;mso-position-horizontal-relative:page;mso-position-vertical-relative:page;z-index:-16312" type="#_x0000_t202" filled="false" stroked="false">
          <v:textbox inset="0,0,0,0">
            <w:txbxContent>
              <w:p>
                <w:pPr>
                  <w:pStyle w:val="BodyText"/>
                  <w:tabs>
                    <w:tab w:pos="10118" w:val="left" w:leader="none"/>
                  </w:tabs>
                  <w:spacing w:before="12"/>
                  <w:ind w:left="20"/>
                </w:pPr>
                <w:r>
                  <w:rPr>
                    <w:w w:val="100"/>
                    <w:u w:val="single"/>
                  </w:rPr>
                  <w:t> </w:t>
                </w:r>
                <w:r>
                  <w:rPr>
                    <w:u w:val="single"/>
                  </w:rPr>
                  <w:tab/>
                </w:r>
                <w:r>
                  <w:rPr/>
                  <w:fldChar w:fldCharType="begin"/>
                </w:r>
                <w:r>
                  <w:rPr/>
                  <w:instrText> PAGE </w:instrText>
                </w:r>
                <w:r>
                  <w:rPr/>
                  <w:fldChar w:fldCharType="separate"/>
                </w:r>
                <w:r>
                  <w:rPr/>
                  <w:t>10</w:t>
                </w:r>
                <w:r>
                  <w:rPr/>
                  <w:fldChar w:fldCharType="end"/>
                </w:r>
                <w:r>
                  <w:rPr/>
                  <w:t>/11</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3">
    <w:multiLevelType w:val="hybridMultilevel"/>
    <w:lvl w:ilvl="0">
      <w:start w:val="1"/>
      <w:numFmt w:val="decimal"/>
      <w:lvlText w:val="%1-"/>
      <w:lvlJc w:val="left"/>
      <w:pPr>
        <w:ind w:left="814" w:hanging="348"/>
        <w:jc w:val="left"/>
      </w:pPr>
      <w:rPr>
        <w:rFonts w:hint="default" w:ascii="Arial" w:hAnsi="Arial" w:eastAsia="Arial" w:cs="Arial"/>
        <w:b/>
        <w:bCs/>
        <w:spacing w:val="-60"/>
        <w:w w:val="99"/>
        <w:sz w:val="24"/>
        <w:szCs w:val="24"/>
        <w:lang w:val="fr-FR" w:eastAsia="fr-FR" w:bidi="fr-FR"/>
      </w:rPr>
    </w:lvl>
    <w:lvl w:ilvl="1">
      <w:start w:val="1"/>
      <w:numFmt w:val="decimal"/>
      <w:lvlText w:val="%1.%2."/>
      <w:lvlJc w:val="left"/>
      <w:pPr>
        <w:ind w:left="1186" w:hanging="720"/>
        <w:jc w:val="left"/>
      </w:pPr>
      <w:rPr>
        <w:rFonts w:hint="default" w:ascii="Arial" w:hAnsi="Arial" w:eastAsia="Arial" w:cs="Arial"/>
        <w:w w:val="99"/>
        <w:sz w:val="24"/>
        <w:szCs w:val="24"/>
        <w:lang w:val="fr-FR" w:eastAsia="fr-FR" w:bidi="fr-FR"/>
      </w:rPr>
    </w:lvl>
    <w:lvl w:ilvl="2">
      <w:start w:val="0"/>
      <w:numFmt w:val="bullet"/>
      <w:lvlText w:val="•"/>
      <w:lvlJc w:val="left"/>
      <w:pPr>
        <w:ind w:left="1180" w:hanging="720"/>
      </w:pPr>
      <w:rPr>
        <w:rFonts w:hint="default"/>
        <w:lang w:val="fr-FR" w:eastAsia="fr-FR" w:bidi="fr-FR"/>
      </w:rPr>
    </w:lvl>
    <w:lvl w:ilvl="3">
      <w:start w:val="0"/>
      <w:numFmt w:val="bullet"/>
      <w:lvlText w:val="•"/>
      <w:lvlJc w:val="left"/>
      <w:pPr>
        <w:ind w:left="1797" w:hanging="720"/>
      </w:pPr>
      <w:rPr>
        <w:rFonts w:hint="default"/>
        <w:lang w:val="fr-FR" w:eastAsia="fr-FR" w:bidi="fr-FR"/>
      </w:rPr>
    </w:lvl>
    <w:lvl w:ilvl="4">
      <w:start w:val="0"/>
      <w:numFmt w:val="bullet"/>
      <w:lvlText w:val="•"/>
      <w:lvlJc w:val="left"/>
      <w:pPr>
        <w:ind w:left="2415" w:hanging="720"/>
      </w:pPr>
      <w:rPr>
        <w:rFonts w:hint="default"/>
        <w:lang w:val="fr-FR" w:eastAsia="fr-FR" w:bidi="fr-FR"/>
      </w:rPr>
    </w:lvl>
    <w:lvl w:ilvl="5">
      <w:start w:val="0"/>
      <w:numFmt w:val="bullet"/>
      <w:lvlText w:val="•"/>
      <w:lvlJc w:val="left"/>
      <w:pPr>
        <w:ind w:left="3033" w:hanging="720"/>
      </w:pPr>
      <w:rPr>
        <w:rFonts w:hint="default"/>
        <w:lang w:val="fr-FR" w:eastAsia="fr-FR" w:bidi="fr-FR"/>
      </w:rPr>
    </w:lvl>
    <w:lvl w:ilvl="6">
      <w:start w:val="0"/>
      <w:numFmt w:val="bullet"/>
      <w:lvlText w:val="•"/>
      <w:lvlJc w:val="left"/>
      <w:pPr>
        <w:ind w:left="3651" w:hanging="720"/>
      </w:pPr>
      <w:rPr>
        <w:rFonts w:hint="default"/>
        <w:lang w:val="fr-FR" w:eastAsia="fr-FR" w:bidi="fr-FR"/>
      </w:rPr>
    </w:lvl>
    <w:lvl w:ilvl="7">
      <w:start w:val="0"/>
      <w:numFmt w:val="bullet"/>
      <w:lvlText w:val="•"/>
      <w:lvlJc w:val="left"/>
      <w:pPr>
        <w:ind w:left="4269" w:hanging="720"/>
      </w:pPr>
      <w:rPr>
        <w:rFonts w:hint="default"/>
        <w:lang w:val="fr-FR" w:eastAsia="fr-FR" w:bidi="fr-FR"/>
      </w:rPr>
    </w:lvl>
    <w:lvl w:ilvl="8">
      <w:start w:val="0"/>
      <w:numFmt w:val="bullet"/>
      <w:lvlText w:val="•"/>
      <w:lvlJc w:val="left"/>
      <w:pPr>
        <w:ind w:left="4887" w:hanging="720"/>
      </w:pPr>
      <w:rPr>
        <w:rFonts w:hint="default"/>
        <w:lang w:val="fr-FR" w:eastAsia="fr-FR" w:bidi="fr-FR"/>
      </w:rPr>
    </w:lvl>
  </w:abstractNum>
  <w:abstractNum w:abstractNumId="12">
    <w:multiLevelType w:val="hybridMultilevel"/>
    <w:lvl w:ilvl="0">
      <w:start w:val="0"/>
      <w:numFmt w:val="bullet"/>
      <w:lvlText w:val="-"/>
      <w:lvlJc w:val="left"/>
      <w:pPr>
        <w:ind w:left="252" w:hanging="147"/>
      </w:pPr>
      <w:rPr>
        <w:rFonts w:hint="default" w:ascii="Arial" w:hAnsi="Arial" w:eastAsia="Arial" w:cs="Arial"/>
        <w:b/>
        <w:bCs/>
        <w:w w:val="99"/>
        <w:sz w:val="24"/>
        <w:szCs w:val="24"/>
        <w:lang w:val="fr-FR" w:eastAsia="fr-FR" w:bidi="fr-FR"/>
      </w:rPr>
    </w:lvl>
    <w:lvl w:ilvl="1">
      <w:start w:val="0"/>
      <w:numFmt w:val="bullet"/>
      <w:lvlText w:val=""/>
      <w:lvlJc w:val="left"/>
      <w:pPr>
        <w:ind w:left="814" w:hanging="348"/>
      </w:pPr>
      <w:rPr>
        <w:rFonts w:hint="default" w:ascii="Symbol" w:hAnsi="Symbol" w:eastAsia="Symbol" w:cs="Symbol"/>
        <w:w w:val="100"/>
        <w:sz w:val="24"/>
        <w:szCs w:val="24"/>
        <w:lang w:val="fr-FR" w:eastAsia="fr-FR" w:bidi="fr-FR"/>
      </w:rPr>
    </w:lvl>
    <w:lvl w:ilvl="2">
      <w:start w:val="0"/>
      <w:numFmt w:val="bullet"/>
      <w:lvlText w:val="•"/>
      <w:lvlJc w:val="left"/>
      <w:pPr>
        <w:ind w:left="2888" w:hanging="348"/>
      </w:pPr>
      <w:rPr>
        <w:rFonts w:hint="default"/>
        <w:lang w:val="fr-FR" w:eastAsia="fr-FR" w:bidi="fr-FR"/>
      </w:rPr>
    </w:lvl>
    <w:lvl w:ilvl="3">
      <w:start w:val="0"/>
      <w:numFmt w:val="bullet"/>
      <w:lvlText w:val="•"/>
      <w:lvlJc w:val="left"/>
      <w:pPr>
        <w:ind w:left="4957" w:hanging="348"/>
      </w:pPr>
      <w:rPr>
        <w:rFonts w:hint="default"/>
        <w:lang w:val="fr-FR" w:eastAsia="fr-FR" w:bidi="fr-FR"/>
      </w:rPr>
    </w:lvl>
    <w:lvl w:ilvl="4">
      <w:start w:val="0"/>
      <w:numFmt w:val="bullet"/>
      <w:lvlText w:val="•"/>
      <w:lvlJc w:val="left"/>
      <w:pPr>
        <w:ind w:left="7026" w:hanging="348"/>
      </w:pPr>
      <w:rPr>
        <w:rFonts w:hint="default"/>
        <w:lang w:val="fr-FR" w:eastAsia="fr-FR" w:bidi="fr-FR"/>
      </w:rPr>
    </w:lvl>
    <w:lvl w:ilvl="5">
      <w:start w:val="0"/>
      <w:numFmt w:val="bullet"/>
      <w:lvlText w:val="•"/>
      <w:lvlJc w:val="left"/>
      <w:pPr>
        <w:ind w:left="9094" w:hanging="348"/>
      </w:pPr>
      <w:rPr>
        <w:rFonts w:hint="default"/>
        <w:lang w:val="fr-FR" w:eastAsia="fr-FR" w:bidi="fr-FR"/>
      </w:rPr>
    </w:lvl>
    <w:lvl w:ilvl="6">
      <w:start w:val="0"/>
      <w:numFmt w:val="bullet"/>
      <w:lvlText w:val="•"/>
      <w:lvlJc w:val="left"/>
      <w:pPr>
        <w:ind w:left="11163" w:hanging="348"/>
      </w:pPr>
      <w:rPr>
        <w:rFonts w:hint="default"/>
        <w:lang w:val="fr-FR" w:eastAsia="fr-FR" w:bidi="fr-FR"/>
      </w:rPr>
    </w:lvl>
    <w:lvl w:ilvl="7">
      <w:start w:val="0"/>
      <w:numFmt w:val="bullet"/>
      <w:lvlText w:val="•"/>
      <w:lvlJc w:val="left"/>
      <w:pPr>
        <w:ind w:left="13232" w:hanging="348"/>
      </w:pPr>
      <w:rPr>
        <w:rFonts w:hint="default"/>
        <w:lang w:val="fr-FR" w:eastAsia="fr-FR" w:bidi="fr-FR"/>
      </w:rPr>
    </w:lvl>
    <w:lvl w:ilvl="8">
      <w:start w:val="0"/>
      <w:numFmt w:val="bullet"/>
      <w:lvlText w:val="•"/>
      <w:lvlJc w:val="left"/>
      <w:pPr>
        <w:ind w:left="15301" w:hanging="348"/>
      </w:pPr>
      <w:rPr>
        <w:rFonts w:hint="default"/>
        <w:lang w:val="fr-FR" w:eastAsia="fr-FR" w:bidi="fr-FR"/>
      </w:rPr>
    </w:lvl>
  </w:abstractNum>
  <w:abstractNum w:abstractNumId="11">
    <w:multiLevelType w:val="hybridMultilevel"/>
    <w:lvl w:ilvl="0">
      <w:start w:val="0"/>
      <w:numFmt w:val="bullet"/>
      <w:lvlText w:val=""/>
      <w:lvlJc w:val="left"/>
      <w:pPr>
        <w:ind w:left="13125" w:hanging="348"/>
      </w:pPr>
      <w:rPr>
        <w:rFonts w:hint="default"/>
        <w:w w:val="99"/>
        <w:lang w:val="fr-FR" w:eastAsia="fr-FR" w:bidi="fr-FR"/>
      </w:rPr>
    </w:lvl>
    <w:lvl w:ilvl="1">
      <w:start w:val="0"/>
      <w:numFmt w:val="bullet"/>
      <w:lvlText w:val="•"/>
      <w:lvlJc w:val="left"/>
      <w:pPr>
        <w:ind w:left="14097" w:hanging="348"/>
      </w:pPr>
      <w:rPr>
        <w:rFonts w:hint="default"/>
        <w:lang w:val="fr-FR" w:eastAsia="fr-FR" w:bidi="fr-FR"/>
      </w:rPr>
    </w:lvl>
    <w:lvl w:ilvl="2">
      <w:start w:val="0"/>
      <w:numFmt w:val="bullet"/>
      <w:lvlText w:val="•"/>
      <w:lvlJc w:val="left"/>
      <w:pPr>
        <w:ind w:left="15074" w:hanging="348"/>
      </w:pPr>
      <w:rPr>
        <w:rFonts w:hint="default"/>
        <w:lang w:val="fr-FR" w:eastAsia="fr-FR" w:bidi="fr-FR"/>
      </w:rPr>
    </w:lvl>
    <w:lvl w:ilvl="3">
      <w:start w:val="0"/>
      <w:numFmt w:val="bullet"/>
      <w:lvlText w:val="•"/>
      <w:lvlJc w:val="left"/>
      <w:pPr>
        <w:ind w:left="16051" w:hanging="348"/>
      </w:pPr>
      <w:rPr>
        <w:rFonts w:hint="default"/>
        <w:lang w:val="fr-FR" w:eastAsia="fr-FR" w:bidi="fr-FR"/>
      </w:rPr>
    </w:lvl>
    <w:lvl w:ilvl="4">
      <w:start w:val="0"/>
      <w:numFmt w:val="bullet"/>
      <w:lvlText w:val="•"/>
      <w:lvlJc w:val="left"/>
      <w:pPr>
        <w:ind w:left="17029" w:hanging="348"/>
      </w:pPr>
      <w:rPr>
        <w:rFonts w:hint="default"/>
        <w:lang w:val="fr-FR" w:eastAsia="fr-FR" w:bidi="fr-FR"/>
      </w:rPr>
    </w:lvl>
    <w:lvl w:ilvl="5">
      <w:start w:val="0"/>
      <w:numFmt w:val="bullet"/>
      <w:lvlText w:val="•"/>
      <w:lvlJc w:val="left"/>
      <w:pPr>
        <w:ind w:left="18006" w:hanging="348"/>
      </w:pPr>
      <w:rPr>
        <w:rFonts w:hint="default"/>
        <w:lang w:val="fr-FR" w:eastAsia="fr-FR" w:bidi="fr-FR"/>
      </w:rPr>
    </w:lvl>
    <w:lvl w:ilvl="6">
      <w:start w:val="0"/>
      <w:numFmt w:val="bullet"/>
      <w:lvlText w:val="•"/>
      <w:lvlJc w:val="left"/>
      <w:pPr>
        <w:ind w:left="18983" w:hanging="348"/>
      </w:pPr>
      <w:rPr>
        <w:rFonts w:hint="default"/>
        <w:lang w:val="fr-FR" w:eastAsia="fr-FR" w:bidi="fr-FR"/>
      </w:rPr>
    </w:lvl>
    <w:lvl w:ilvl="7">
      <w:start w:val="0"/>
      <w:numFmt w:val="bullet"/>
      <w:lvlText w:val="•"/>
      <w:lvlJc w:val="left"/>
      <w:pPr>
        <w:ind w:left="19960" w:hanging="348"/>
      </w:pPr>
      <w:rPr>
        <w:rFonts w:hint="default"/>
        <w:lang w:val="fr-FR" w:eastAsia="fr-FR" w:bidi="fr-FR"/>
      </w:rPr>
    </w:lvl>
    <w:lvl w:ilvl="8">
      <w:start w:val="0"/>
      <w:numFmt w:val="bullet"/>
      <w:lvlText w:val="•"/>
      <w:lvlJc w:val="left"/>
      <w:pPr>
        <w:ind w:left="20938" w:hanging="348"/>
      </w:pPr>
      <w:rPr>
        <w:rFonts w:hint="default"/>
        <w:lang w:val="fr-FR" w:eastAsia="fr-FR" w:bidi="fr-FR"/>
      </w:rPr>
    </w:lvl>
  </w:abstractNum>
  <w:abstractNum w:abstractNumId="10">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9">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8">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7">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6">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5">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4">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3">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2">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1">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abstractNum w:abstractNumId="0">
    <w:multiLevelType w:val="hybridMultilevel"/>
    <w:lvl w:ilvl="0">
      <w:start w:val="0"/>
      <w:numFmt w:val="bullet"/>
      <w:lvlText w:val=""/>
      <w:lvlJc w:val="left"/>
      <w:pPr>
        <w:ind w:left="496" w:hanging="286"/>
      </w:pPr>
      <w:rPr>
        <w:rFonts w:hint="default" w:ascii="Wingdings" w:hAnsi="Wingdings" w:eastAsia="Wingdings" w:cs="Wingdings"/>
        <w:w w:val="100"/>
        <w:sz w:val="16"/>
        <w:szCs w:val="16"/>
        <w:lang w:val="fr-FR" w:eastAsia="fr-FR" w:bidi="fr-FR"/>
      </w:rPr>
    </w:lvl>
    <w:lvl w:ilvl="1">
      <w:start w:val="0"/>
      <w:numFmt w:val="bullet"/>
      <w:lvlText w:val="•"/>
      <w:lvlJc w:val="left"/>
      <w:pPr>
        <w:ind w:left="1058" w:hanging="286"/>
      </w:pPr>
      <w:rPr>
        <w:rFonts w:hint="default"/>
        <w:lang w:val="fr-FR" w:eastAsia="fr-FR" w:bidi="fr-FR"/>
      </w:rPr>
    </w:lvl>
    <w:lvl w:ilvl="2">
      <w:start w:val="0"/>
      <w:numFmt w:val="bullet"/>
      <w:lvlText w:val="•"/>
      <w:lvlJc w:val="left"/>
      <w:pPr>
        <w:ind w:left="1616" w:hanging="286"/>
      </w:pPr>
      <w:rPr>
        <w:rFonts w:hint="default"/>
        <w:lang w:val="fr-FR" w:eastAsia="fr-FR" w:bidi="fr-FR"/>
      </w:rPr>
    </w:lvl>
    <w:lvl w:ilvl="3">
      <w:start w:val="0"/>
      <w:numFmt w:val="bullet"/>
      <w:lvlText w:val="•"/>
      <w:lvlJc w:val="left"/>
      <w:pPr>
        <w:ind w:left="2175" w:hanging="286"/>
      </w:pPr>
      <w:rPr>
        <w:rFonts w:hint="default"/>
        <w:lang w:val="fr-FR" w:eastAsia="fr-FR" w:bidi="fr-FR"/>
      </w:rPr>
    </w:lvl>
    <w:lvl w:ilvl="4">
      <w:start w:val="0"/>
      <w:numFmt w:val="bullet"/>
      <w:lvlText w:val="•"/>
      <w:lvlJc w:val="left"/>
      <w:pPr>
        <w:ind w:left="2733" w:hanging="286"/>
      </w:pPr>
      <w:rPr>
        <w:rFonts w:hint="default"/>
        <w:lang w:val="fr-FR" w:eastAsia="fr-FR" w:bidi="fr-FR"/>
      </w:rPr>
    </w:lvl>
    <w:lvl w:ilvl="5">
      <w:start w:val="0"/>
      <w:numFmt w:val="bullet"/>
      <w:lvlText w:val="•"/>
      <w:lvlJc w:val="left"/>
      <w:pPr>
        <w:ind w:left="3292" w:hanging="286"/>
      </w:pPr>
      <w:rPr>
        <w:rFonts w:hint="default"/>
        <w:lang w:val="fr-FR" w:eastAsia="fr-FR" w:bidi="fr-FR"/>
      </w:rPr>
    </w:lvl>
    <w:lvl w:ilvl="6">
      <w:start w:val="0"/>
      <w:numFmt w:val="bullet"/>
      <w:lvlText w:val="•"/>
      <w:lvlJc w:val="left"/>
      <w:pPr>
        <w:ind w:left="3850" w:hanging="286"/>
      </w:pPr>
      <w:rPr>
        <w:rFonts w:hint="default"/>
        <w:lang w:val="fr-FR" w:eastAsia="fr-FR" w:bidi="fr-FR"/>
      </w:rPr>
    </w:lvl>
    <w:lvl w:ilvl="7">
      <w:start w:val="0"/>
      <w:numFmt w:val="bullet"/>
      <w:lvlText w:val="•"/>
      <w:lvlJc w:val="left"/>
      <w:pPr>
        <w:ind w:left="4408" w:hanging="286"/>
      </w:pPr>
      <w:rPr>
        <w:rFonts w:hint="default"/>
        <w:lang w:val="fr-FR" w:eastAsia="fr-FR" w:bidi="fr-FR"/>
      </w:rPr>
    </w:lvl>
    <w:lvl w:ilvl="8">
      <w:start w:val="0"/>
      <w:numFmt w:val="bullet"/>
      <w:lvlText w:val="•"/>
      <w:lvlJc w:val="left"/>
      <w:pPr>
        <w:ind w:left="4967" w:hanging="286"/>
      </w:pPr>
      <w:rPr>
        <w:rFonts w:hint="default"/>
        <w:lang w:val="fr-FR" w:eastAsia="fr-FR" w:bidi="fr-FR"/>
      </w:rPr>
    </w:lvl>
  </w:abstract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fr-FR" w:eastAsia="fr-FR" w:bidi="fr-FR"/>
    </w:rPr>
  </w:style>
  <w:style w:styleId="BodyText" w:type="paragraph">
    <w:name w:val="Body Text"/>
    <w:basedOn w:val="Normal"/>
    <w:uiPriority w:val="1"/>
    <w:qFormat/>
    <w:pPr/>
    <w:rPr>
      <w:rFonts w:ascii="Arial" w:hAnsi="Arial" w:eastAsia="Arial" w:cs="Arial"/>
      <w:sz w:val="24"/>
      <w:szCs w:val="24"/>
      <w:lang w:val="fr-FR" w:eastAsia="fr-FR" w:bidi="fr-FR"/>
    </w:rPr>
  </w:style>
  <w:style w:styleId="Heading1" w:type="paragraph">
    <w:name w:val="Heading 1"/>
    <w:basedOn w:val="Normal"/>
    <w:uiPriority w:val="1"/>
    <w:qFormat/>
    <w:pPr>
      <w:spacing w:before="58"/>
      <w:outlineLvl w:val="1"/>
    </w:pPr>
    <w:rPr>
      <w:rFonts w:ascii="Arial" w:hAnsi="Arial" w:eastAsia="Arial" w:cs="Arial"/>
      <w:b/>
      <w:bCs/>
      <w:sz w:val="56"/>
      <w:szCs w:val="56"/>
      <w:lang w:val="fr-FR" w:eastAsia="fr-FR" w:bidi="fr-FR"/>
    </w:rPr>
  </w:style>
  <w:style w:styleId="Heading2" w:type="paragraph">
    <w:name w:val="Heading 2"/>
    <w:basedOn w:val="Normal"/>
    <w:uiPriority w:val="1"/>
    <w:qFormat/>
    <w:pPr>
      <w:ind w:left="106"/>
      <w:outlineLvl w:val="2"/>
    </w:pPr>
    <w:rPr>
      <w:rFonts w:ascii="Arial" w:hAnsi="Arial" w:eastAsia="Arial" w:cs="Arial"/>
      <w:b/>
      <w:bCs/>
      <w:sz w:val="24"/>
      <w:szCs w:val="24"/>
      <w:lang w:val="fr-FR" w:eastAsia="fr-FR" w:bidi="fr-FR"/>
    </w:rPr>
  </w:style>
  <w:style w:styleId="ListParagraph" w:type="paragraph">
    <w:name w:val="List Paragraph"/>
    <w:basedOn w:val="Normal"/>
    <w:uiPriority w:val="1"/>
    <w:qFormat/>
    <w:pPr>
      <w:ind w:left="814" w:hanging="348"/>
    </w:pPr>
    <w:rPr>
      <w:rFonts w:ascii="Arial" w:hAnsi="Arial" w:eastAsia="Arial" w:cs="Arial"/>
      <w:lang w:val="fr-FR" w:eastAsia="fr-FR" w:bidi="fr-FR"/>
    </w:rPr>
  </w:style>
  <w:style w:styleId="TableParagraph" w:type="paragraph">
    <w:name w:val="Table Paragraph"/>
    <w:basedOn w:val="Normal"/>
    <w:uiPriority w:val="1"/>
    <w:qFormat/>
    <w:pPr>
      <w:spacing w:before="213"/>
    </w:pPr>
    <w:rPr>
      <w:rFonts w:ascii="Arial" w:hAnsi="Arial" w:eastAsia="Arial" w:cs="Arial"/>
      <w:lang w:val="fr-FR" w:eastAsia="fr-FR" w:bidi="fr-F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jpeg"/><Relationship Id="rId7" Type="http://schemas.openxmlformats.org/officeDocument/2006/relationships/footer" Target="footer2.xml"/><Relationship Id="rId8" Type="http://schemas.openxmlformats.org/officeDocument/2006/relationships/image" Target="media/image2.jpeg"/><Relationship Id="rId9" Type="http://schemas.openxmlformats.org/officeDocument/2006/relationships/footer" Target="footer3.xml"/><Relationship Id="rId10" Type="http://schemas.openxmlformats.org/officeDocument/2006/relationships/image" Target="media/image3.jpeg"/><Relationship Id="rId11" Type="http://schemas.openxmlformats.org/officeDocument/2006/relationships/footer" Target="footer4.xml"/><Relationship Id="rId12" Type="http://schemas.openxmlformats.org/officeDocument/2006/relationships/image" Target="media/image4.pn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image" Target="media/image10.jpeg"/><Relationship Id="rId19" Type="http://schemas.openxmlformats.org/officeDocument/2006/relationships/image" Target="media/image11.jpeg"/><Relationship Id="rId20" Type="http://schemas.openxmlformats.org/officeDocument/2006/relationships/image" Target="media/image12.jpeg"/><Relationship Id="rId21" Type="http://schemas.openxmlformats.org/officeDocument/2006/relationships/image" Target="media/image13.jpeg"/><Relationship Id="rId22" Type="http://schemas.openxmlformats.org/officeDocument/2006/relationships/image" Target="media/image14.png"/><Relationship Id="rId23" Type="http://schemas.openxmlformats.org/officeDocument/2006/relationships/image" Target="media/image15.jpeg"/><Relationship Id="rId24" Type="http://schemas.openxmlformats.org/officeDocument/2006/relationships/image" Target="media/image16.jpeg"/><Relationship Id="rId2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2020-09-17T15:05:47Z</dcterms:created>
  <dcterms:modified xsi:type="dcterms:W3CDTF">2020-09-17T15:05:47Z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2018-12-12T00:00:00Z</vt:filetime>
  </property>
  <property fmtid="{D5CDD505-2E9C-101B-9397-08002B2CF9AE}" pid="3" name="Creator">
    <vt:lpwstr>Microsoft® Word 2016</vt:lpwstr>
  </property>
  <property fmtid="{D5CDD505-2E9C-101B-9397-08002B2CF9AE}" pid="4" name="LastSaved">
    <vt:filetime>2020-09-17T00:00:00Z</vt:filetime>
  </property>
</Properties>
</file>