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FD6A58" w:rsidRDefault="001C2F89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7678420</wp:posOffset>
                </wp:positionH>
                <wp:positionV relativeFrom="paragraph">
                  <wp:posOffset>-521335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882E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04.6pt;margin-top:-41.05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  <w:r w:rsidR="00DB300F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-375920</wp:posOffset>
                </wp:positionH>
                <wp:positionV relativeFrom="paragraph">
                  <wp:posOffset>-334645</wp:posOffset>
                </wp:positionV>
                <wp:extent cx="7938000" cy="712382"/>
                <wp:effectExtent l="19050" t="19050" r="25400" b="1206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8000" cy="712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Pr="00BE0AF8" w:rsidRDefault="00A66FE1" w:rsidP="006A09D5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262367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13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262367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La maitrise de la gestion documentaire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A66FE1" w:rsidRPr="00262367" w:rsidRDefault="00BE0AF8" w:rsidP="0026236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Indicateurs </w:t>
                            </w:r>
                            <w:r w:rsidR="00262367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35 et 36 </w:t>
                            </w:r>
                            <w:r w:rsidR="00DB300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(i</w:t>
                            </w:r>
                            <w:r w:rsidR="00DB300F" w:rsidRPr="00DB300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ndicateurs Éduform</w:t>
                            </w:r>
                            <w:r w:rsidR="00DB300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27" type="#_x0000_t202" style="position:absolute;margin-left:-29.6pt;margin-top:-26.35pt;width:625.05pt;height:5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" fillcolor="white [3201]" strokecolor="#00b5c6" strokeweight="3.5pt">
                <v:textbox>
                  <w:txbxContent>
                    <w:p w:rsidR="00A66FE1" w:rsidRPr="00BE0AF8" w:rsidRDefault="00A66FE1" w:rsidP="006A09D5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 w:rsidR="00262367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13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262367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La maitrise de la gestion documentaire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30"/>
                          <w:szCs w:val="30"/>
                        </w:rPr>
                        <w:t xml:space="preserve"> </w:t>
                      </w:r>
                    </w:p>
                    <w:p w:rsidR="00A66FE1" w:rsidRPr="00262367" w:rsidRDefault="00BE0AF8" w:rsidP="0026236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Indicateurs </w:t>
                      </w:r>
                      <w:r w:rsidR="00262367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35 et 36 </w:t>
                      </w:r>
                      <w:r w:rsidR="00DB300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(i</w:t>
                      </w:r>
                      <w:r w:rsidR="00DB300F" w:rsidRPr="00DB300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ndicateurs Éduform</w:t>
                      </w:r>
                      <w:r w:rsidR="00DB300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64B11" w:rsidRPr="00FD6A58" w:rsidRDefault="0075473A">
      <w:pPr>
        <w:rPr>
          <w:rFonts w:ascii="Arial" w:hAnsi="Arial" w:cs="Arial"/>
        </w:rPr>
      </w:pPr>
      <w:bookmarkStart w:id="0" w:name="_GoBack"/>
      <w:bookmarkEnd w:id="0"/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C37F69" wp14:editId="3FFBAAE6">
                <wp:simplePos x="0" y="0"/>
                <wp:positionH relativeFrom="column">
                  <wp:posOffset>8834755</wp:posOffset>
                </wp:positionH>
                <wp:positionV relativeFrom="paragraph">
                  <wp:posOffset>5737415</wp:posOffset>
                </wp:positionV>
                <wp:extent cx="838200" cy="23558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5473A" w:rsidRPr="00CC4DBB" w:rsidRDefault="0075473A" w:rsidP="0075473A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7F69" id="Zone de texte 20" o:spid="_x0000_s1028" type="#_x0000_t202" style="position:absolute;margin-left:695.65pt;margin-top:451.75pt;width:66pt;height:1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" fillcolor="white [3201]" stroked="f" strokeweight=".5pt">
                <v:textbox>
                  <w:txbxContent>
                    <w:p w:rsidR="0075473A" w:rsidRPr="00CC4DBB" w:rsidRDefault="0075473A" w:rsidP="0075473A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36685A" wp14:editId="784E152A">
                <wp:simplePos x="0" y="0"/>
                <wp:positionH relativeFrom="column">
                  <wp:posOffset>-760021</wp:posOffset>
                </wp:positionH>
                <wp:positionV relativeFrom="paragraph">
                  <wp:posOffset>5714901</wp:posOffset>
                </wp:positionV>
                <wp:extent cx="952500" cy="28575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5473A" w:rsidRPr="00CC4DBB" w:rsidRDefault="0075473A" w:rsidP="0075473A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6685A" id="Zone de texte 27" o:spid="_x0000_s1029" type="#_x0000_t202" style="position:absolute;margin-left:-59.85pt;margin-top:450pt;width: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" fillcolor="white [3201]" stroked="f" strokeweight=".5pt">
                <v:textbox>
                  <w:txbxContent>
                    <w:p w:rsidR="0075473A" w:rsidRPr="00CC4DBB" w:rsidRDefault="0075473A" w:rsidP="0075473A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413</w:t>
                      </w:r>
                    </w:p>
                  </w:txbxContent>
                </v:textbox>
              </v:shape>
            </w:pict>
          </mc:Fallback>
        </mc:AlternateContent>
      </w:r>
      <w:r w:rsidR="00A84463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7627620</wp:posOffset>
                </wp:positionH>
                <wp:positionV relativeFrom="paragraph">
                  <wp:posOffset>375285</wp:posOffset>
                </wp:positionV>
                <wp:extent cx="1791970" cy="4741545"/>
                <wp:effectExtent l="0" t="0" r="0" b="1905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91970" cy="4741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6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6"/>
                            </w:tblGrid>
                            <w:tr w:rsidR="00BE0AF8" w:rsidTr="000926DF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26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6A09D5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6A09D5">
                              <w:trPr>
                                <w:trHeight w:val="6525"/>
                                <w:jc w:val="center"/>
                              </w:trPr>
                              <w:tc>
                                <w:tcPr>
                                  <w:tcW w:w="2526" w:type="dxa"/>
                                </w:tcPr>
                                <w:p w:rsidR="00BE0AF8" w:rsidRPr="0052000E" w:rsidRDefault="00BE0AF8" w:rsidP="006A09D5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5B762B" w:rsidRPr="00B00092" w:rsidRDefault="00BE0AF8" w:rsidP="00B00092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B6642E" w:rsidRPr="005B762B" w:rsidRDefault="005B762B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Respect du d</w:t>
                                  </w:r>
                                  <w:r w:rsidR="00B6642E" w:rsidRPr="00B6642E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élai de paiement sous</w:t>
                                  </w:r>
                                  <w:r w:rsidR="00B00092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 xml:space="preserve"> 30 jours pour les fournisseurs</w:t>
                                  </w:r>
                                </w:p>
                                <w:p w:rsidR="00B6642E" w:rsidRPr="005B762B" w:rsidRDefault="00B6642E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6642E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Taux de recouvremen</w:t>
                                  </w:r>
                                  <w:r w:rsidR="00B00092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t des créances hors projets FSE</w:t>
                                  </w:r>
                                </w:p>
                                <w:p w:rsidR="00B6642E" w:rsidRPr="005B762B" w:rsidRDefault="00B00092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Taux de factures acceptées</w:t>
                                  </w:r>
                                </w:p>
                                <w:p w:rsidR="00B6642E" w:rsidRPr="005B762B" w:rsidRDefault="00B6642E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6642E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Nombre de réclamation clients rel</w:t>
                                  </w:r>
                                  <w:r w:rsidR="00B00092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atives au contrat ou convention</w:t>
                                  </w:r>
                                </w:p>
                                <w:p w:rsidR="00B6642E" w:rsidRPr="005B762B" w:rsidRDefault="00B00092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Nombre de documents mis à jour</w:t>
                                  </w:r>
                                </w:p>
                                <w:p w:rsidR="00B6642E" w:rsidRPr="00B6642E" w:rsidRDefault="00B6642E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6642E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Nombre d’incidents liés à une mauvaise utilisation documentaire (version périmée, document supprimé, d</w:t>
                                  </w:r>
                                  <w:r w:rsidR="00B00092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iffusion hors validation, etc.)</w:t>
                                  </w:r>
                                </w:p>
                                <w:p w:rsidR="00A17BA2" w:rsidRPr="000926DF" w:rsidRDefault="00A17BA2" w:rsidP="00C8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0AF8" w:rsidRDefault="00BE0AF8" w:rsidP="005B76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Zone de texte 11" o:spid="_x0000_s1030" type="#_x0000_t202" style="position:absolute;margin-left:600.6pt;margin-top:29.55pt;width:141.1pt;height:37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26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6"/>
                      </w:tblGrid>
                      <w:tr w:rsidR="00BE0AF8" w:rsidTr="000926DF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26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6A09D5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6A09D5">
                        <w:trPr>
                          <w:trHeight w:val="6525"/>
                          <w:jc w:val="center"/>
                        </w:trPr>
                        <w:tc>
                          <w:tcPr>
                            <w:tcW w:w="2526" w:type="dxa"/>
                          </w:tcPr>
                          <w:p w:rsidR="00BE0AF8" w:rsidRPr="0052000E" w:rsidRDefault="00BE0AF8" w:rsidP="006A09D5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5B762B" w:rsidRPr="00B00092" w:rsidRDefault="00BE0AF8" w:rsidP="00B00092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B6642E" w:rsidRPr="005B762B" w:rsidRDefault="005B762B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Respect du d</w:t>
                            </w:r>
                            <w:r w:rsidR="00B6642E" w:rsidRPr="00B6642E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élai de paiement sous</w:t>
                            </w:r>
                            <w:r w:rsidR="00B00092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 xml:space="preserve"> 30 jours pour les fournisseurs</w:t>
                            </w:r>
                          </w:p>
                          <w:p w:rsidR="00B6642E" w:rsidRPr="005B762B" w:rsidRDefault="00B6642E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  <w:r w:rsidRPr="00B6642E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Taux de recouvremen</w:t>
                            </w:r>
                            <w:r w:rsidR="00B00092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t des créances hors projets FSE</w:t>
                            </w:r>
                          </w:p>
                          <w:p w:rsidR="00B6642E" w:rsidRPr="005B762B" w:rsidRDefault="00B00092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Taux de factures acceptées</w:t>
                            </w:r>
                          </w:p>
                          <w:p w:rsidR="00B6642E" w:rsidRPr="005B762B" w:rsidRDefault="00B6642E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  <w:r w:rsidRPr="00B6642E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Nombre de réclamation clients rel</w:t>
                            </w:r>
                            <w:r w:rsidR="00B00092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atives au contrat ou convention</w:t>
                            </w:r>
                          </w:p>
                          <w:p w:rsidR="00B6642E" w:rsidRPr="005B762B" w:rsidRDefault="00B00092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Nombre de documents mis à jour</w:t>
                            </w:r>
                          </w:p>
                          <w:p w:rsidR="00B6642E" w:rsidRPr="00B6642E" w:rsidRDefault="00B6642E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  <w:r w:rsidRPr="00B6642E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Nombre d’incidents liés à une mauvaise utilisation documentaire (version périmée, document supprimé, d</w:t>
                            </w:r>
                            <w:r w:rsidR="00B00092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iffusion hors validation, etc.)</w:t>
                            </w:r>
                          </w:p>
                          <w:p w:rsidR="00A17BA2" w:rsidRPr="000926DF" w:rsidRDefault="00A17BA2" w:rsidP="00C8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BE0AF8" w:rsidRDefault="00BE0AF8" w:rsidP="005B762B"/>
                  </w:txbxContent>
                </v:textbox>
              </v:shape>
            </w:pict>
          </mc:Fallback>
        </mc:AlternateContent>
      </w:r>
      <w:r w:rsidR="00A84463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F143" wp14:editId="1F137C45">
                <wp:simplePos x="0" y="0"/>
                <wp:positionH relativeFrom="column">
                  <wp:posOffset>-393065</wp:posOffset>
                </wp:positionH>
                <wp:positionV relativeFrom="paragraph">
                  <wp:posOffset>2937510</wp:posOffset>
                </wp:positionV>
                <wp:extent cx="1817370" cy="2051685"/>
                <wp:effectExtent l="0" t="0" r="11430" b="2476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370" cy="205168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F0F27" w:rsidRPr="006F0F27" w:rsidRDefault="006A09D5" w:rsidP="006A09D5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CE14DE" w:rsidRPr="006A09D5" w:rsidRDefault="000079A9" w:rsidP="006A09D5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6A09D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095261" w:rsidRPr="000952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</w:t>
                            </w:r>
                            <w:r w:rsid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retard ponctuel dans</w:t>
                            </w:r>
                            <w:r w:rsidR="00CE14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5261" w:rsidRPr="000952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l’application des procédures</w:t>
                            </w:r>
                            <w:r w:rsid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095261" w:rsidRPr="000952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 défaut </w:t>
                            </w:r>
                            <w:r w:rsidR="00CE14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ponctuel </w:t>
                            </w:r>
                            <w:r w:rsidR="00095261" w:rsidRPr="000952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dans la mise à jour ou la disponibilité des documents</w:t>
                            </w:r>
                            <w:r w:rsid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DB300F" w:rsidRPr="006A09D5" w:rsidRDefault="00DB300F" w:rsidP="006A09D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B300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maj</w:t>
                            </w:r>
                            <w:r w:rsidR="006A09D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eure(s) caractérisée(s) par</w:t>
                            </w:r>
                            <w:r w:rsidR="006A09D5" w:rsidRP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des r</w:t>
                            </w:r>
                            <w:r w:rsidR="00CE14DE" w:rsidRP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</w:t>
                            </w:r>
                            <w:r w:rsidR="00CE14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ards et défauts </w:t>
                            </w:r>
                            <w:r w:rsidR="005B76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fréquents</w:t>
                            </w:r>
                            <w:r w:rsidR="00CE14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 ou </w:t>
                            </w:r>
                            <w:r w:rsidR="005B76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répétés</w:t>
                            </w:r>
                            <w:r w:rsidR="00CE14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une </w:t>
                            </w:r>
                            <w:r w:rsidR="00CE14D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documentation</w:t>
                            </w:r>
                            <w:r w:rsidR="006A09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très incomplète, une absence de documentation…</w:t>
                            </w:r>
                          </w:p>
                          <w:p w:rsidR="000079A9" w:rsidRDefault="000079A9" w:rsidP="000079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F143" id="Zone de texte 7" o:spid="_x0000_s1029" type="#_x0000_t202" style="position:absolute;margin-left:-30.95pt;margin-top:231.3pt;width:143.1pt;height:16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" fillcolor="#ff9575" strokecolor="#ff9575" strokeweight=".5pt">
                <v:textbox>
                  <w:txbxContent>
                    <w:p w:rsidR="006F0F27" w:rsidRPr="006F0F27" w:rsidRDefault="006A09D5" w:rsidP="006A09D5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CE14DE" w:rsidRPr="006A09D5" w:rsidRDefault="000079A9" w:rsidP="006A09D5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6A09D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095261" w:rsidRPr="00095261">
                        <w:rPr>
                          <w:rFonts w:ascii="Arial" w:hAnsi="Arial" w:cs="Arial"/>
                          <w:sz w:val="18"/>
                          <w:szCs w:val="18"/>
                        </w:rPr>
                        <w:t>un</w:t>
                      </w:r>
                      <w:r w:rsid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retard ponctuel dans</w:t>
                      </w:r>
                      <w:r w:rsidR="00CE14D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095261" w:rsidRPr="00095261">
                        <w:rPr>
                          <w:rFonts w:ascii="Arial" w:hAnsi="Arial" w:cs="Arial"/>
                          <w:sz w:val="18"/>
                          <w:szCs w:val="18"/>
                        </w:rPr>
                        <w:t>l’application des procédures</w:t>
                      </w:r>
                      <w:r w:rsid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r w:rsidR="00095261" w:rsidRPr="0009526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 défaut </w:t>
                      </w:r>
                      <w:r w:rsidR="00CE14D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ponctuel </w:t>
                      </w:r>
                      <w:r w:rsidR="00095261" w:rsidRPr="00095261">
                        <w:rPr>
                          <w:rFonts w:ascii="Arial" w:hAnsi="Arial" w:cs="Arial"/>
                          <w:sz w:val="18"/>
                          <w:szCs w:val="18"/>
                        </w:rPr>
                        <w:t>dans la mise à jour ou la disponibilité des documents</w:t>
                      </w:r>
                      <w:r w:rsid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:rsidR="00DB300F" w:rsidRPr="006A09D5" w:rsidRDefault="00DB300F" w:rsidP="006A09D5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B300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maj</w:t>
                      </w:r>
                      <w:r w:rsidR="006A09D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eure(s) caractérisée(s) par</w:t>
                      </w:r>
                      <w:r w:rsidR="006A09D5" w:rsidRP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> des r</w:t>
                      </w:r>
                      <w:r w:rsidR="00CE14DE" w:rsidRP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>et</w:t>
                      </w:r>
                      <w:r w:rsidR="00CE14D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ards et défauts </w:t>
                      </w:r>
                      <w:r w:rsidR="005B762B">
                        <w:rPr>
                          <w:rFonts w:ascii="Arial" w:hAnsi="Arial" w:cs="Arial"/>
                          <w:sz w:val="18"/>
                          <w:szCs w:val="18"/>
                        </w:rPr>
                        <w:t>fréquents</w:t>
                      </w:r>
                      <w:r w:rsidR="00CE14D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 ou </w:t>
                      </w:r>
                      <w:r w:rsidR="005B762B">
                        <w:rPr>
                          <w:rFonts w:ascii="Arial" w:hAnsi="Arial" w:cs="Arial"/>
                          <w:sz w:val="18"/>
                          <w:szCs w:val="18"/>
                        </w:rPr>
                        <w:t>répétés</w:t>
                      </w:r>
                      <w:r w:rsidR="00CE14D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r w:rsid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une </w:t>
                      </w:r>
                      <w:r w:rsidR="00CE14DE">
                        <w:rPr>
                          <w:rFonts w:ascii="Arial" w:hAnsi="Arial" w:cs="Arial"/>
                          <w:sz w:val="18"/>
                          <w:szCs w:val="18"/>
                        </w:rPr>
                        <w:t>documentation</w:t>
                      </w:r>
                      <w:r w:rsidR="006A09D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très incomplète, une absence de documentation…</w:t>
                      </w:r>
                    </w:p>
                    <w:p w:rsidR="000079A9" w:rsidRDefault="000079A9" w:rsidP="000079A9"/>
                  </w:txbxContent>
                </v:textbox>
              </v:shape>
            </w:pict>
          </mc:Fallback>
        </mc:AlternateContent>
      </w:r>
      <w:r w:rsidR="00A84463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1484630</wp:posOffset>
                </wp:positionH>
                <wp:positionV relativeFrom="paragraph">
                  <wp:posOffset>375285</wp:posOffset>
                </wp:positionV>
                <wp:extent cx="6155690" cy="4741545"/>
                <wp:effectExtent l="0" t="0" r="0" b="190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690" cy="4741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468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90"/>
                              <w:gridCol w:w="698"/>
                              <w:gridCol w:w="699"/>
                              <w:gridCol w:w="698"/>
                              <w:gridCol w:w="683"/>
                            </w:tblGrid>
                            <w:tr w:rsidR="000926DF" w:rsidRPr="00B970EC" w:rsidTr="006A09D5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468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:rsidTr="006A09D5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78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Type d’action</w:t>
                                  </w:r>
                                </w:p>
                              </w:tc>
                            </w:tr>
                            <w:tr w:rsidR="000926DF" w:rsidRPr="00B970EC" w:rsidTr="006A09D5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:rsidTr="006A09D5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926DF" w:rsidRPr="005E55A7" w:rsidRDefault="000926DF" w:rsidP="004328E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0079A9" w:rsidRPr="00B970EC" w:rsidRDefault="00A17BA2" w:rsidP="004328E4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5E55A7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Référent</w:t>
                                  </w:r>
                                  <w:r w:rsidR="00AC0CE7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(s)</w:t>
                                  </w:r>
                                </w:p>
                                <w:p w:rsidR="000079A9" w:rsidRPr="005E55A7" w:rsidRDefault="000079A9" w:rsidP="004328E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12CAE" w:rsidRDefault="00F12CAE" w:rsidP="00AC0CE7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Qui est </w:t>
                                  </w:r>
                                  <w:r w:rsidR="005E55A7" w:rsidRPr="005E55A7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en charge du suivi administratif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12C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et financier</w:t>
                                  </w:r>
                                  <w:r w:rsidR="00AC0CE7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 ? Comment est défini le périmètre de son activité ?</w:t>
                                  </w:r>
                                </w:p>
                                <w:p w:rsidR="005E55A7" w:rsidRPr="005E55A7" w:rsidRDefault="00F12CAE" w:rsidP="005E55A7">
                                  <w:pPr>
                                    <w:widowControl w:val="0"/>
                                    <w:suppressAutoHyphens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Comment est-il identifiable</w:t>
                                  </w:r>
                                  <w:r w:rsidR="005E55A7" w:rsidRPr="005E55A7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par les personnels de la structure ? </w:t>
                                  </w:r>
                                </w:p>
                                <w:p w:rsidR="005E55A7" w:rsidRPr="005E55A7" w:rsidRDefault="005E55A7" w:rsidP="005E55A7">
                                  <w:pPr>
                                    <w:widowControl w:val="0"/>
                                    <w:suppressAutoHyphens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5E55A7" w:rsidRPr="00F12CAE" w:rsidRDefault="00F12CAE" w:rsidP="005E55A7">
                                  <w:pPr>
                                    <w:widowControl w:val="0"/>
                                    <w:suppressAutoHyphens/>
                                    <w:rPr>
                                      <w:rFonts w:ascii="Calibri" w:eastAsia="Times New Roman" w:hAnsi="Calibri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Comment s’assure-t-on </w:t>
                                  </w:r>
                                  <w:r w:rsidR="00AC0CE7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que ses coordonnées sont diffusées aux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différentes parties prenantes ?</w:t>
                                  </w:r>
                                </w:p>
                                <w:p w:rsidR="000926DF" w:rsidRPr="005E55A7" w:rsidRDefault="000926DF" w:rsidP="004328E4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2CAE" w:rsidRPr="00B970EC" w:rsidTr="006A09D5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F12CAE" w:rsidRPr="00F12CAE" w:rsidRDefault="00F12CAE" w:rsidP="00F12CA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Suivi administratif et financier</w:t>
                                  </w:r>
                                </w:p>
                                <w:p w:rsidR="00F12CAE" w:rsidRDefault="00F12CAE" w:rsidP="00F12CA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modalités de suivi administratif 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 financier sont-elles définies ?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sont-elles 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documentées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 ? </w:t>
                                  </w:r>
                                </w:p>
                                <w:p w:rsidR="00F12CAE" w:rsidRPr="00F12CAE" w:rsidRDefault="00F12CAE" w:rsidP="00F12CA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ces modalités sont-elles partagées </w:t>
                                  </w:r>
                                  <w:r w:rsidR="00AC0CE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entre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personnels </w:t>
                                  </w:r>
                                  <w:r w:rsidR="00AC0CE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mobilisés à chaque étape : 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contractualisation, suivi et attestation de la réalisation, facturation, reco</w:t>
                                  </w:r>
                                  <w:r w:rsidR="00AC0CE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uvrement, classement, archivage, etc.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  </w:t>
                                  </w:r>
                                </w:p>
                                <w:p w:rsidR="00F12CAE" w:rsidRPr="00F12CAE" w:rsidRDefault="00F12CAE" w:rsidP="00F12CA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 moyens mis en œuvre pour respecter les délais de traitement internes et réglementaires ?</w:t>
                                  </w:r>
                                </w:p>
                                <w:p w:rsidR="00F12CAE" w:rsidRPr="005E55A7" w:rsidRDefault="00F12CAE" w:rsidP="00F12CAE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2CAE" w:rsidRPr="00B970EC" w:rsidTr="006A09D5">
                              <w:trPr>
                                <w:trHeight w:val="2341"/>
                                <w:jc w:val="center"/>
                              </w:trPr>
                              <w:tc>
                                <w:tcPr>
                                  <w:tcW w:w="669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F12CAE" w:rsidRPr="00B970EC" w:rsidRDefault="00F12CAE" w:rsidP="00F12CA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3. Gestion du système documentaire</w:t>
                                  </w:r>
                                </w:p>
                                <w:p w:rsidR="00F12CAE" w:rsidRPr="005E55A7" w:rsidRDefault="00F12CAE" w:rsidP="00F12CAE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5B762B" w:rsidRDefault="00F12CAE" w:rsidP="005B76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Quelles sont les dispositions prévues pour gérer et diffuser la documentation nécessaire au bon </w:t>
                                  </w:r>
                                  <w:r w:rsidR="00AC0CE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fonctionnement de la structure : 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création, diffus</w:t>
                                  </w:r>
                                  <w:r w:rsidR="00AC0CE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ion, mise à jour, archivage, etc. ?</w:t>
                                  </w:r>
                                </w:p>
                                <w:p w:rsidR="00F12CAE" w:rsidRDefault="005B762B" w:rsidP="005B76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sont-elles partagées avec les acteurs internes ?</w:t>
                                  </w:r>
                                  <w:r w:rsidR="00F12CAE"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F12CAE" w:rsidRPr="005B762B" w:rsidRDefault="00F12CAE" w:rsidP="005B76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Qui est responsable de 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la gestion du système documentaire ?</w:t>
                                  </w:r>
                                </w:p>
                                <w:p w:rsidR="00F12CAE" w:rsidRPr="005B762B" w:rsidRDefault="00F12CAE" w:rsidP="005B76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est organisé le système documentaire numérique ?</w:t>
                                  </w:r>
                                  <w:r w:rsidR="005B762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À l’aide de quels outils, de quelles interfaces ?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Comme</w:t>
                                  </w:r>
                                  <w:r w:rsidR="005B762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 sont gérés les droits d’accès ?</w:t>
                                  </w:r>
                                </w:p>
                                <w:p w:rsidR="00F12CAE" w:rsidRPr="00B970EC" w:rsidRDefault="005B762B" w:rsidP="005B76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</w:t>
                                  </w:r>
                                  <w:r w:rsidR="00F12CAE"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système de classement et d’archivage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est-il mis en place</w:t>
                                  </w:r>
                                  <w:r w:rsidR="00F12CAE" w:rsidRPr="005E55A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F12CAE" w:rsidRPr="00B970EC" w:rsidRDefault="00F12CAE" w:rsidP="00F12CA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32" type="#_x0000_t202" style="position:absolute;margin-left:116.9pt;margin-top:29.55pt;width:484.7pt;height:37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468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90"/>
                        <w:gridCol w:w="698"/>
                        <w:gridCol w:w="699"/>
                        <w:gridCol w:w="698"/>
                        <w:gridCol w:w="683"/>
                      </w:tblGrid>
                      <w:tr w:rsidR="000926DF" w:rsidRPr="00B970EC" w:rsidTr="006A09D5">
                        <w:trPr>
                          <w:trHeight w:val="511"/>
                          <w:jc w:val="center"/>
                        </w:trPr>
                        <w:tc>
                          <w:tcPr>
                            <w:tcW w:w="9468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:rsidTr="006A09D5">
                        <w:trPr>
                          <w:trHeight w:val="263"/>
                          <w:jc w:val="center"/>
                        </w:trPr>
                        <w:tc>
                          <w:tcPr>
                            <w:tcW w:w="6690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78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Type d’action</w:t>
                            </w:r>
                          </w:p>
                        </w:tc>
                      </w:tr>
                      <w:tr w:rsidR="000926DF" w:rsidRPr="00B970EC" w:rsidTr="006A09D5">
                        <w:trPr>
                          <w:trHeight w:val="263"/>
                          <w:jc w:val="center"/>
                        </w:trPr>
                        <w:tc>
                          <w:tcPr>
                            <w:tcW w:w="6690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:rsidTr="006A09D5">
                        <w:trPr>
                          <w:trHeight w:val="1142"/>
                          <w:jc w:val="center"/>
                        </w:trPr>
                        <w:tc>
                          <w:tcPr>
                            <w:tcW w:w="669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926DF" w:rsidRPr="005E55A7" w:rsidRDefault="000926DF" w:rsidP="004328E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0079A9" w:rsidRPr="00B970EC" w:rsidRDefault="00A17BA2" w:rsidP="004328E4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5E55A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Référent</w:t>
                            </w:r>
                            <w:r w:rsidR="00AC0CE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(s)</w:t>
                            </w:r>
                          </w:p>
                          <w:p w:rsidR="000079A9" w:rsidRPr="005E55A7" w:rsidRDefault="000079A9" w:rsidP="004328E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F12CAE" w:rsidRDefault="00F12CAE" w:rsidP="00AC0CE7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Qui est </w:t>
                            </w:r>
                            <w:r w:rsidR="005E55A7" w:rsidRPr="005E55A7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en charge du suivi administratif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12CAE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et financier</w:t>
                            </w:r>
                            <w:r w:rsidR="00AC0CE7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 ? Comment est défini le périmètre de son activité ?</w:t>
                            </w:r>
                          </w:p>
                          <w:p w:rsidR="005E55A7" w:rsidRPr="005E55A7" w:rsidRDefault="00F12CAE" w:rsidP="005E55A7">
                            <w:pPr>
                              <w:widowControl w:val="0"/>
                              <w:suppressAutoHyphens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Comment est-il identifiable</w:t>
                            </w:r>
                            <w:r w:rsidR="005E55A7" w:rsidRPr="005E55A7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par les personnels de la structure ? </w:t>
                            </w:r>
                          </w:p>
                          <w:p w:rsidR="005E55A7" w:rsidRPr="005E55A7" w:rsidRDefault="005E55A7" w:rsidP="005E55A7">
                            <w:pPr>
                              <w:widowControl w:val="0"/>
                              <w:suppressAutoHyphens/>
                              <w:rPr>
                                <w:rFonts w:ascii="Arial" w:eastAsia="Times New Roman" w:hAnsi="Arial" w:cs="Arial"/>
                                <w:color w:val="000000"/>
                                <w:sz w:val="6"/>
                                <w:szCs w:val="6"/>
                              </w:rPr>
                            </w:pPr>
                          </w:p>
                          <w:p w:rsidR="005E55A7" w:rsidRPr="00F12CAE" w:rsidRDefault="00F12CAE" w:rsidP="005E55A7">
                            <w:pPr>
                              <w:widowControl w:val="0"/>
                              <w:suppressAutoHyphens/>
                              <w:rPr>
                                <w:rFonts w:ascii="Calibri" w:eastAsia="Times New Roman" w:hAnsi="Calibri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Comment s’assure-t-on </w:t>
                            </w:r>
                            <w:r w:rsidR="00AC0CE7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que ses coordonnées sont diffusées aux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différentes parties prenantes ?</w:t>
                            </w:r>
                          </w:p>
                          <w:p w:rsidR="000926DF" w:rsidRPr="005E55A7" w:rsidRDefault="000926DF" w:rsidP="004328E4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2CAE" w:rsidRPr="00B970EC" w:rsidTr="006A09D5">
                        <w:trPr>
                          <w:trHeight w:val="1142"/>
                          <w:jc w:val="center"/>
                        </w:trPr>
                        <w:tc>
                          <w:tcPr>
                            <w:tcW w:w="669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F12CAE" w:rsidRPr="00F12CAE" w:rsidRDefault="00F12CAE" w:rsidP="00F12CAE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Suivi administratif et financier</w:t>
                            </w:r>
                          </w:p>
                          <w:p w:rsidR="00F12CAE" w:rsidRDefault="00F12CAE" w:rsidP="00F12CA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modalités de suivi administratif 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 financier sont-elles définies ?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sont-elles 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documentées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 ? </w:t>
                            </w:r>
                          </w:p>
                          <w:p w:rsidR="00F12CAE" w:rsidRPr="00F12CAE" w:rsidRDefault="00F12CAE" w:rsidP="00F12CA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ces modalités sont-elles partagées </w:t>
                            </w:r>
                            <w:r w:rsidR="00AC0CE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entre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personnels </w:t>
                            </w:r>
                            <w:r w:rsidR="00AC0CE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mobilisés à chaque étape : 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contractualisation, suivi et attestation de la réalisation, facturation, reco</w:t>
                            </w:r>
                            <w:r w:rsidR="00AC0CE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uvrement, classement, archivage, etc.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  </w:t>
                            </w:r>
                          </w:p>
                          <w:p w:rsidR="00F12CAE" w:rsidRPr="00F12CAE" w:rsidRDefault="00F12CAE" w:rsidP="00F12CA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 moyens mis en œuvre pour respecter les délais de traitement internes et réglementaires ?</w:t>
                            </w:r>
                          </w:p>
                          <w:p w:rsidR="00F12CAE" w:rsidRPr="005E55A7" w:rsidRDefault="00F12CAE" w:rsidP="00F12CA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2CAE" w:rsidRPr="00B970EC" w:rsidTr="006A09D5">
                        <w:trPr>
                          <w:trHeight w:val="2341"/>
                          <w:jc w:val="center"/>
                        </w:trPr>
                        <w:tc>
                          <w:tcPr>
                            <w:tcW w:w="669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F12CAE" w:rsidRPr="00B970EC" w:rsidRDefault="00F12CAE" w:rsidP="00F12CAE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3. Gestion du système documentaire</w:t>
                            </w:r>
                          </w:p>
                          <w:p w:rsidR="00F12CAE" w:rsidRPr="005E55A7" w:rsidRDefault="00F12CAE" w:rsidP="00F12CA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5B762B" w:rsidRDefault="00F12CAE" w:rsidP="005B762B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Quelles sont les dispositions prévues pour gérer et diffuser la documentation nécessaire au bon </w:t>
                            </w:r>
                            <w:r w:rsidR="00AC0CE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fonctionnement de la structure : 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création, diffus</w:t>
                            </w:r>
                            <w:r w:rsidR="00AC0CE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ion, mise à jour, archivage, etc. ?</w:t>
                            </w:r>
                          </w:p>
                          <w:p w:rsidR="00F12CAE" w:rsidRDefault="005B762B" w:rsidP="005B762B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sont-elles partagées avec les acteurs internes ?</w:t>
                            </w:r>
                            <w:r w:rsidR="00F12CAE"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12CAE" w:rsidRPr="005B762B" w:rsidRDefault="00F12CAE" w:rsidP="005B762B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Qui est responsable de 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la gestion du système documentaire ?</w:t>
                            </w:r>
                          </w:p>
                          <w:p w:rsidR="00F12CAE" w:rsidRPr="005B762B" w:rsidRDefault="00F12CAE" w:rsidP="005B762B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est organisé le système documentaire numérique ?</w:t>
                            </w:r>
                            <w:r w:rsidR="005B762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À l’aide de quels outils, de quelles interfaces ?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Comme</w:t>
                            </w:r>
                            <w:r w:rsidR="005B762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</w:t>
                            </w:r>
                            <w:r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 sont gérés les droits d’accès ?</w:t>
                            </w:r>
                          </w:p>
                          <w:p w:rsidR="00F12CAE" w:rsidRPr="00B970EC" w:rsidRDefault="005B762B" w:rsidP="005B762B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</w:t>
                            </w:r>
                            <w:r w:rsidR="00F12CAE"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système de classement et d’archivage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est-il mis en place</w:t>
                            </w:r>
                            <w:r w:rsidR="00F12CAE" w:rsidRPr="005E55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F12CAE" w:rsidRPr="00B970EC" w:rsidRDefault="00F12CAE" w:rsidP="00F12CA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  <w:r w:rsidR="006A09D5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-448310</wp:posOffset>
                </wp:positionH>
                <wp:positionV relativeFrom="paragraph">
                  <wp:posOffset>367030</wp:posOffset>
                </wp:positionV>
                <wp:extent cx="1943735" cy="2573020"/>
                <wp:effectExtent l="0" t="0" r="0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43735" cy="2573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83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35"/>
                            </w:tblGrid>
                            <w:tr w:rsidR="00BE0AF8" w:rsidTr="006A09D5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835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6A09D5">
                              <w:trPr>
                                <w:trHeight w:val="3058"/>
                                <w:jc w:val="center"/>
                              </w:trPr>
                              <w:tc>
                                <w:tcPr>
                                  <w:tcW w:w="2835" w:type="dxa"/>
                                </w:tcPr>
                                <w:p w:rsidR="00BE0AF8" w:rsidRPr="00254302" w:rsidRDefault="00BE0AF8" w:rsidP="006A09D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:rsidR="00CE14DE" w:rsidRDefault="00DB300F" w:rsidP="00DB300F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 prestataire </w:t>
                                  </w:r>
                                  <w:r w:rsidR="00CE14D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maîtrise la </w:t>
                                  </w:r>
                                  <w:r w:rsidR="00CE14DE" w:rsidRPr="00CE14D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gestion administrative et financière des prestations</w:t>
                                  </w:r>
                                  <w:r w:rsidR="00CE14D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qu’il met en œuvre et assure la traçabilité de l’activité.</w:t>
                                  </w:r>
                                </w:p>
                                <w:p w:rsidR="00BE0AF8" w:rsidRPr="005B762B" w:rsidRDefault="00DB300F" w:rsidP="005B762B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Faciliter </w:t>
                                  </w:r>
                                  <w:r w:rsidR="00B06481" w:rsidRPr="00B06481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 suivi des procédures, le respect de la contractualisation, les relations avec les clients et bénéficiaires, la </w:t>
                                  </w:r>
                                  <w:r w:rsidR="00CE14D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diffusion des informations administratives et financières à l’</w:t>
                                  </w:r>
                                  <w:r w:rsidR="00B06481" w:rsidRPr="00B06481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interne e</w:t>
                                  </w:r>
                                  <w:r w:rsidR="00CE14D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t à l’</w:t>
                                  </w:r>
                                  <w:r w:rsidR="00B06481" w:rsidRPr="00B06481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externe. 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DC1EF" id="Zone de texte 8" o:spid="_x0000_s1033" type="#_x0000_t202" style="position:absolute;margin-left:-35.3pt;margin-top:28.9pt;width:153.05pt;height:20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83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35"/>
                      </w:tblGrid>
                      <w:tr w:rsidR="00BE0AF8" w:rsidTr="006A09D5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835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6A09D5">
                        <w:trPr>
                          <w:trHeight w:val="3058"/>
                          <w:jc w:val="center"/>
                        </w:trPr>
                        <w:tc>
                          <w:tcPr>
                            <w:tcW w:w="2835" w:type="dxa"/>
                          </w:tcPr>
                          <w:p w:rsidR="00BE0AF8" w:rsidRPr="00254302" w:rsidRDefault="00BE0AF8" w:rsidP="006A09D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:rsidR="00CE14DE" w:rsidRDefault="00DB300F" w:rsidP="00DB300F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Le prestataire </w:t>
                            </w:r>
                            <w:r w:rsidR="00CE14D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maîtrise la </w:t>
                            </w:r>
                            <w:r w:rsidR="00CE14DE" w:rsidRPr="00CE14D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gestion administrative et financière des prestations</w:t>
                            </w:r>
                            <w:r w:rsidR="00CE14D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qu’il met en œuvre et assure la traçabilité de l’activité.</w:t>
                            </w:r>
                          </w:p>
                          <w:p w:rsidR="00BE0AF8" w:rsidRPr="005B762B" w:rsidRDefault="00DB300F" w:rsidP="005B762B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Faciliter </w:t>
                            </w:r>
                            <w:r w:rsidR="00B06481" w:rsidRPr="00B06481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le suivi des procédures, le respect de la contractualisation, les relations avec les clients et bénéficiaires, la </w:t>
                            </w:r>
                            <w:r w:rsidR="00CE14D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diffusion des informations administratives et financières à l’</w:t>
                            </w:r>
                            <w:r w:rsidR="00B06481" w:rsidRPr="00B06481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interne e</w:t>
                            </w:r>
                            <w:r w:rsidR="00CE14D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t à l’</w:t>
                            </w:r>
                            <w:r w:rsidR="00B06481" w:rsidRPr="00B06481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externe. 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9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926DF"/>
    <w:rsid w:val="00095261"/>
    <w:rsid w:val="001C2F89"/>
    <w:rsid w:val="00262367"/>
    <w:rsid w:val="005B762B"/>
    <w:rsid w:val="005E0351"/>
    <w:rsid w:val="005E55A7"/>
    <w:rsid w:val="00686924"/>
    <w:rsid w:val="006A09D5"/>
    <w:rsid w:val="006F0F27"/>
    <w:rsid w:val="0075473A"/>
    <w:rsid w:val="00A17BA2"/>
    <w:rsid w:val="00A64B11"/>
    <w:rsid w:val="00A66FE1"/>
    <w:rsid w:val="00A84463"/>
    <w:rsid w:val="00AC0CE7"/>
    <w:rsid w:val="00B00092"/>
    <w:rsid w:val="00B06481"/>
    <w:rsid w:val="00B6642E"/>
    <w:rsid w:val="00B970EC"/>
    <w:rsid w:val="00BA0B8F"/>
    <w:rsid w:val="00BE0AF8"/>
    <w:rsid w:val="00CE14DE"/>
    <w:rsid w:val="00DB300F"/>
    <w:rsid w:val="00E31736"/>
    <w:rsid w:val="00EC5FE8"/>
    <w:rsid w:val="00F12CAE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0E5DFA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00F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4</cp:revision>
  <dcterms:created xsi:type="dcterms:W3CDTF">2024-03-05T15:45:00Z</dcterms:created>
  <dcterms:modified xsi:type="dcterms:W3CDTF">2024-07-29T16:16:00Z</dcterms:modified>
</cp:coreProperties>
</file>