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2"/>
        <w:tblW w:w="16172" w:type="dxa"/>
        <w:tblInd w:w="-318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E704B9">
        <w:trPr>
          <w:gridAfter w:val="1"/>
          <w:wAfter w:w="12" w:type="dxa"/>
          <w:trHeight w:hRule="exact" w:val="1742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</w:tcPr>
          <w:p w14:paraId="747D95F5" w14:textId="3F6DC3AD" w:rsidR="005F196B" w:rsidRPr="0060469A" w:rsidRDefault="00FB2BD5" w:rsidP="005F196B">
            <w:pPr>
              <w:pStyle w:val="Sansinterligne"/>
              <w:rPr>
                <w:rFonts w:eastAsia="Times New Roman"/>
                <w:b/>
                <w:bCs/>
                <w:color w:val="00B5C6"/>
                <w:sz w:val="36"/>
                <w:szCs w:val="26"/>
              </w:rPr>
            </w:pPr>
            <w:bookmarkStart w:id="0" w:name="_Toc489966558"/>
            <w:r>
              <w:rPr>
                <w:rFonts w:eastAsia="Times New Roman"/>
                <w:b/>
                <w:bCs/>
                <w:color w:val="00B5C6"/>
                <w:sz w:val="36"/>
                <w:szCs w:val="26"/>
              </w:rPr>
              <w:t>Gérer et animer</w:t>
            </w:r>
            <w:r w:rsidR="005F196B" w:rsidRPr="0060469A">
              <w:rPr>
                <w:rFonts w:eastAsia="Times New Roman"/>
                <w:b/>
                <w:bCs/>
                <w:color w:val="00B5C6"/>
                <w:sz w:val="36"/>
                <w:szCs w:val="26"/>
              </w:rPr>
              <w:t xml:space="preserve"> </w:t>
            </w:r>
            <w:r>
              <w:rPr>
                <w:rFonts w:eastAsia="Times New Roman"/>
                <w:b/>
                <w:bCs/>
                <w:color w:val="00B5C6"/>
                <w:sz w:val="36"/>
                <w:szCs w:val="26"/>
              </w:rPr>
              <w:t>l</w:t>
            </w:r>
            <w:r w:rsidR="005F196B" w:rsidRPr="0060469A">
              <w:rPr>
                <w:rFonts w:eastAsia="Times New Roman"/>
                <w:b/>
                <w:bCs/>
                <w:color w:val="00B5C6"/>
                <w:sz w:val="36"/>
                <w:szCs w:val="26"/>
              </w:rPr>
              <w:t>es ressources humaines</w:t>
            </w:r>
            <w:bookmarkEnd w:id="0"/>
            <w:r>
              <w:rPr>
                <w:rFonts w:eastAsia="Times New Roman"/>
                <w:b/>
                <w:bCs/>
                <w:color w:val="00B5C6"/>
                <w:sz w:val="36"/>
                <w:szCs w:val="26"/>
              </w:rPr>
              <w:t xml:space="preserve"> de l’établissement</w:t>
            </w:r>
          </w:p>
          <w:p w14:paraId="1D47EE9E" w14:textId="6286C0AF" w:rsidR="006549C3" w:rsidRPr="0060469A" w:rsidRDefault="005F196B" w:rsidP="0060469A">
            <w:pPr>
              <w:spacing w:before="8"/>
              <w:rPr>
                <w:rFonts w:asciiTheme="majorHAnsi" w:hAnsiTheme="majorHAnsi" w:cs="Myriad Pro"/>
                <w:bCs/>
                <w:color w:val="231F20"/>
                <w:sz w:val="14"/>
                <w:szCs w:val="14"/>
              </w:rPr>
            </w:pPr>
            <w:r w:rsidRPr="0060469A">
              <w:rPr>
                <w:rFonts w:asciiTheme="majorHAnsi" w:hAnsiTheme="majorHAnsi" w:cs="Myriad Pro"/>
                <w:b/>
                <w:color w:val="231F20"/>
                <w:sz w:val="14"/>
                <w:szCs w:val="14"/>
              </w:rPr>
              <w:t>Décrets :</w:t>
            </w:r>
            <w:r w:rsidRPr="0060469A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 </w:t>
            </w:r>
            <w:hyperlink r:id="rId9" w:history="1">
              <w:r w:rsidRPr="0060469A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n° 92-1189 du 06 novembre 1992</w:t>
              </w:r>
            </w:hyperlink>
            <w:r w:rsidRPr="0060469A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 (statut particulier des PLP), </w:t>
            </w:r>
            <w:hyperlink r:id="rId10" w:history="1">
              <w:r w:rsidRPr="0060469A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n° 2010-888 du 28 juillet 2010</w:t>
              </w:r>
            </w:hyperlink>
            <w:r w:rsidRPr="0060469A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 (conditions générales de l'appréciation de la valeur professionnelle des fonctionnaires de l'état), </w:t>
            </w:r>
            <w:hyperlink r:id="rId11" w:history="1">
              <w:r w:rsidRPr="0060469A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 xml:space="preserve">n° 2014-940 du 20 août 2014 </w:t>
              </w:r>
            </w:hyperlink>
            <w:r w:rsidRPr="0060469A">
              <w:rPr>
                <w:rFonts w:asciiTheme="majorHAnsi" w:hAnsiTheme="majorHAnsi" w:cs="Myriad Pro"/>
                <w:bCs/>
                <w:color w:val="231F20"/>
                <w:sz w:val="14"/>
                <w:szCs w:val="14"/>
              </w:rPr>
              <w:t>(obligations de service et aux missions des personnels enseignants exerçant dans un EPLE)</w:t>
            </w:r>
            <w:r w:rsidR="0060469A" w:rsidRPr="0060469A">
              <w:rPr>
                <w:rFonts w:asciiTheme="majorHAnsi" w:hAnsiTheme="majorHAnsi" w:cs="Myriad Pro"/>
                <w:bCs/>
                <w:color w:val="231F20"/>
                <w:sz w:val="14"/>
                <w:szCs w:val="14"/>
              </w:rPr>
              <w:t>.</w:t>
            </w:r>
            <w:hyperlink r:id="rId12" w:history="1">
              <w:r w:rsidRPr="0060469A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 xml:space="preserve">Arrêté du 1-7-2013 </w:t>
              </w:r>
            </w:hyperlink>
            <w:r w:rsidRPr="0060469A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(référentiel des compétences professionnelles des métiers du professorat et de l'éducation) et </w:t>
            </w:r>
            <w:hyperlink r:id="rId13" w:history="1">
              <w:r w:rsidRPr="0060469A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circulaire n° 2015-057 du 29-4-2015</w:t>
              </w:r>
            </w:hyperlink>
            <w:r w:rsidRPr="0060469A">
              <w:rPr>
                <w:rFonts w:asciiTheme="majorHAnsi" w:hAnsiTheme="majorHAnsi" w:cs="Myriad Pro"/>
                <w:bCs/>
                <w:color w:val="231F20"/>
                <w:sz w:val="14"/>
                <w:szCs w:val="14"/>
              </w:rPr>
              <w:t xml:space="preserve"> (missions et obligations réglementaires de service des enseignants des établissements publics d'enseignement du second degré) - </w:t>
            </w:r>
            <w:hyperlink r:id="rId14" w:history="1">
              <w:r w:rsidRPr="0060469A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Arrêté du 12-5-2010</w:t>
              </w:r>
            </w:hyperlink>
            <w:r w:rsidRPr="0060469A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 et </w:t>
            </w:r>
            <w:hyperlink r:id="rId15" w:history="1">
              <w:r w:rsidRPr="0060469A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circulaire n° 2010-105 du 13-7-2010</w:t>
              </w:r>
            </w:hyperlink>
            <w:r w:rsidRPr="0060469A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 (co</w:t>
            </w:r>
            <w:r w:rsidRPr="0060469A">
              <w:rPr>
                <w:rFonts w:asciiTheme="majorHAnsi" w:hAnsiTheme="majorHAnsi" w:cs="Myriad Pro"/>
                <w:bCs/>
                <w:color w:val="231F20"/>
                <w:sz w:val="14"/>
                <w:szCs w:val="14"/>
              </w:rPr>
              <w:t xml:space="preserve">mpétences à acquérir par les professeurs, documentalistes et conseillers principaux d'éducation pour l'exercice de leur métier), </w:t>
            </w:r>
            <w:hyperlink r:id="rId16" w:history="1">
              <w:r w:rsidRPr="0060469A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circulaire n°° 2015-139 du 10-8-2015</w:t>
              </w:r>
            </w:hyperlink>
            <w:r w:rsidRPr="0060469A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 (m</w:t>
            </w:r>
            <w:r w:rsidRPr="0060469A">
              <w:rPr>
                <w:rFonts w:asciiTheme="majorHAnsi" w:hAnsiTheme="majorHAnsi" w:cs="Myriad Pro"/>
                <w:bCs/>
                <w:color w:val="231F20"/>
                <w:sz w:val="14"/>
                <w:szCs w:val="14"/>
              </w:rPr>
              <w:t xml:space="preserve">issions des conseillers principaux d'éducation) ; </w:t>
            </w:r>
            <w:hyperlink r:id="rId17" w:history="1">
              <w:r w:rsidRPr="0065453C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Référentiel pour l’éducation prioritaire</w:t>
              </w:r>
            </w:hyperlink>
            <w:r w:rsidRPr="0065453C">
              <w:rPr>
                <w:rFonts w:asciiTheme="majorHAnsi" w:hAnsiTheme="majorHAnsi" w:cs="Tahoma"/>
                <w:color w:val="0000FF"/>
                <w:sz w:val="14"/>
                <w:szCs w:val="14"/>
                <w:u w:val="single"/>
              </w:rPr>
              <w:t xml:space="preserve"> Textes de référence</w:t>
            </w:r>
            <w:r w:rsidR="0060469A" w:rsidRPr="0065453C">
              <w:rPr>
                <w:rFonts w:asciiTheme="majorHAnsi" w:hAnsiTheme="majorHAnsi" w:cs="Tahoma"/>
                <w:color w:val="0000FF"/>
                <w:sz w:val="14"/>
                <w:szCs w:val="14"/>
                <w:u w:val="single"/>
              </w:rPr>
              <w:t xml:space="preserve">. </w:t>
            </w:r>
            <w:hyperlink r:id="rId18" w:history="1">
              <w:r w:rsidRPr="0065453C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Décret n°2017-786 du 5 mai 2017 modifiant divers décrets portant statut particulier des personnels</w:t>
              </w:r>
            </w:hyperlink>
            <w:r w:rsidR="0060469A" w:rsidRPr="0065453C">
              <w:rPr>
                <w:rStyle w:val="Lienhypertexte"/>
                <w:rFonts w:asciiTheme="majorHAnsi" w:hAnsiTheme="majorHAnsi" w:cs="Tahoma"/>
                <w:sz w:val="14"/>
                <w:szCs w:val="14"/>
              </w:rPr>
              <w:t xml:space="preserve">. </w:t>
            </w:r>
            <w:hyperlink r:id="rId19" w:history="1">
              <w:r w:rsidRPr="0065453C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Décret n°2017-789 du 5 mai 2017 fixant l’échelonnement indiciaire de certains personnels enseignants et d’éducation du MEN</w:t>
              </w:r>
            </w:hyperlink>
            <w:r w:rsidR="0060469A" w:rsidRPr="0065453C">
              <w:rPr>
                <w:rStyle w:val="Lienhypertexte"/>
                <w:rFonts w:asciiTheme="majorHAnsi" w:hAnsiTheme="majorHAnsi" w:cs="Tahoma"/>
                <w:sz w:val="14"/>
                <w:szCs w:val="14"/>
              </w:rPr>
              <w:t xml:space="preserve">. </w:t>
            </w:r>
            <w:hyperlink r:id="rId20" w:history="1">
              <w:r w:rsidRPr="0065453C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Arrêté du 5 mai 2017 relatif à la mise en œuvre du rendez-vous de carrière des personnels enseignants, d’éducation et de psychologues du MEN</w:t>
              </w:r>
            </w:hyperlink>
            <w:r w:rsidR="0060469A" w:rsidRPr="0065453C">
              <w:rPr>
                <w:rStyle w:val="Lienhypertexte"/>
                <w:rFonts w:asciiTheme="majorHAnsi" w:hAnsiTheme="majorHAnsi" w:cs="Tahoma"/>
                <w:sz w:val="14"/>
                <w:szCs w:val="14"/>
              </w:rPr>
              <w:t xml:space="preserve">. </w:t>
            </w:r>
            <w:hyperlink r:id="rId21" w:history="1">
              <w:r w:rsidRPr="0065453C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Rendez- vous de carrière : mode d’emploi (notice, calendrier, document de référence de l’entretien, guide du rendez-vous de carrière)</w:t>
              </w:r>
            </w:hyperlink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22" r:link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E704B9">
        <w:trPr>
          <w:cantSplit/>
          <w:trHeight w:hRule="exact" w:val="150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E704B9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3A20D5">
        <w:trPr>
          <w:trHeight w:val="7499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7EACA80C" w14:textId="77777777" w:rsidR="0060469A" w:rsidRPr="005D0C84" w:rsidRDefault="0060469A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5F1EC4F2" w14:textId="77777777" w:rsidR="0060469A" w:rsidRPr="0065453C" w:rsidRDefault="0060469A" w:rsidP="0060469A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65453C">
              <w:rPr>
                <w:rFonts w:asciiTheme="majorHAnsi" w:hAnsiTheme="majorHAnsi"/>
                <w:sz w:val="17"/>
                <w:szCs w:val="17"/>
              </w:rPr>
              <w:t>Quelle est la place de la gestion des ressources humaines dans le projet d’établissement ? Avec quels objectifs et quelle stratégie ?</w:t>
            </w:r>
          </w:p>
          <w:p w14:paraId="40B7CF3E" w14:textId="77777777" w:rsidR="0060469A" w:rsidRPr="0065453C" w:rsidRDefault="0060469A" w:rsidP="0060469A">
            <w:pPr>
              <w:widowControl w:val="0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3A76514E" w14:textId="77777777" w:rsidR="0060469A" w:rsidRPr="0065453C" w:rsidRDefault="0060469A" w:rsidP="0060469A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65453C">
              <w:rPr>
                <w:rFonts w:asciiTheme="majorHAnsi" w:hAnsiTheme="majorHAnsi"/>
                <w:sz w:val="17"/>
                <w:szCs w:val="17"/>
              </w:rPr>
              <w:t>Quel est le plan de formation des personnels de l’établissement ?</w:t>
            </w:r>
          </w:p>
          <w:p w14:paraId="6696532A" w14:textId="77777777" w:rsidR="0060469A" w:rsidRPr="0065453C" w:rsidRDefault="0060469A" w:rsidP="0060469A">
            <w:pPr>
              <w:widowControl w:val="0"/>
              <w:ind w:right="172"/>
              <w:rPr>
                <w:rFonts w:asciiTheme="majorHAnsi" w:hAnsiTheme="majorHAnsi"/>
                <w:sz w:val="17"/>
                <w:szCs w:val="17"/>
              </w:rPr>
            </w:pPr>
          </w:p>
          <w:p w14:paraId="6819EB8F" w14:textId="77777777" w:rsidR="0060469A" w:rsidRPr="0065453C" w:rsidRDefault="0060469A" w:rsidP="0060469A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65453C">
              <w:rPr>
                <w:rFonts w:asciiTheme="majorHAnsi" w:hAnsiTheme="majorHAnsi"/>
                <w:sz w:val="17"/>
                <w:szCs w:val="17"/>
              </w:rPr>
              <w:t>Quelles sont les instances mobilisées ?</w:t>
            </w:r>
          </w:p>
          <w:p w14:paraId="405AA404" w14:textId="77777777" w:rsidR="0060469A" w:rsidRPr="0065453C" w:rsidRDefault="0060469A" w:rsidP="0060469A">
            <w:pPr>
              <w:ind w:right="172"/>
              <w:rPr>
                <w:rFonts w:asciiTheme="majorHAnsi" w:hAnsiTheme="majorHAnsi"/>
                <w:sz w:val="17"/>
                <w:szCs w:val="17"/>
              </w:rPr>
            </w:pPr>
          </w:p>
          <w:p w14:paraId="456EBF11" w14:textId="77777777" w:rsidR="0060469A" w:rsidRPr="0065453C" w:rsidRDefault="0060469A" w:rsidP="0060469A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65453C">
              <w:rPr>
                <w:sz w:val="17"/>
                <w:szCs w:val="17"/>
              </w:rPr>
              <w:t xml:space="preserve">La gestion des RDV de carrière (enjeu, préparation, évolution des pratiques professionnelles et des projets de carrière) : une information sur le RDV de carrière est-elle programmée au niveau de l’établissement ? un accompagnement spécifique est-il organisé et planifié ? pour les enseignants éligibles ? pour tous les enseignants ? </w:t>
            </w:r>
          </w:p>
          <w:p w14:paraId="44A4BB27" w14:textId="77777777" w:rsidR="0060469A" w:rsidRPr="00B468DF" w:rsidRDefault="0060469A" w:rsidP="0060469A">
            <w:pPr>
              <w:widowControl w:val="0"/>
              <w:ind w:right="172"/>
              <w:rPr>
                <w:rFonts w:asciiTheme="majorHAnsi" w:hAnsiTheme="majorHAnsi"/>
                <w:sz w:val="18"/>
                <w:szCs w:val="18"/>
              </w:rPr>
            </w:pPr>
          </w:p>
          <w:p w14:paraId="0E9F28AA" w14:textId="77777777" w:rsidR="000448D7" w:rsidRPr="00072711" w:rsidRDefault="000448D7" w:rsidP="005A5BFF">
            <w:pPr>
              <w:pStyle w:val="Titre1"/>
              <w:spacing w:line="247" w:lineRule="auto"/>
              <w:ind w:left="195" w:right="911"/>
              <w:outlineLvl w:val="0"/>
              <w:rPr>
                <w:rFonts w:cstheme="majorHAnsi"/>
                <w:color w:val="31849B"/>
                <w:sz w:val="15"/>
                <w:szCs w:val="15"/>
              </w:rPr>
            </w:pPr>
          </w:p>
          <w:p w14:paraId="2480AA1A" w14:textId="57192BCA" w:rsidR="000448D7" w:rsidRPr="00134B17" w:rsidRDefault="000448D7" w:rsidP="00C7213D">
            <w:pPr>
              <w:rPr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Pr="008B50B2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03921BBC" w14:textId="77777777" w:rsidR="0060469A" w:rsidRPr="0065453C" w:rsidRDefault="000448D7" w:rsidP="0060469A">
            <w:pPr>
              <w:widowControl w:val="0"/>
              <w:tabs>
                <w:tab w:val="left" w:pos="323"/>
              </w:tabs>
              <w:spacing w:before="60"/>
              <w:ind w:right="170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  </w:t>
            </w:r>
            <w:r w:rsidR="0060469A" w:rsidRPr="0065453C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Accueillir</w:t>
            </w:r>
          </w:p>
          <w:p w14:paraId="173EBA50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Quelles sont les modalités d’accueil et de professionnalisation des personnels (nouveaux personnels, service partagé, néo-titulaires, personnels non titulaires) mises en œuvre dans l’établissement ? Sous quelles formes (accueil individuel, réunion, livret d’accueil, fiches de postes pour les personnels recrutés par l’établissement…) ?</w:t>
            </w:r>
          </w:p>
          <w:p w14:paraId="5C7E5FAF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Les enseignants débutants ou non titulaires bénéficient-ils d’une aide de leurs pairs ? Ont-ils un tuteur ?</w:t>
            </w:r>
          </w:p>
          <w:p w14:paraId="7729A77E" w14:textId="77777777" w:rsidR="0060469A" w:rsidRPr="0065453C" w:rsidRDefault="0060469A" w:rsidP="0065453C">
            <w:pPr>
              <w:widowControl w:val="0"/>
              <w:tabs>
                <w:tab w:val="left" w:pos="323"/>
              </w:tabs>
              <w:spacing w:before="60"/>
              <w:ind w:right="170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65453C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Gérer des équipes</w:t>
            </w:r>
          </w:p>
          <w:p w14:paraId="140B94B2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Le référentiel de compétences professionnelles est–il diffusé et connu ?</w:t>
            </w:r>
          </w:p>
          <w:p w14:paraId="1B54372D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Quelles sont les modalités de décloisonnement entre enseignements généraux et enseignements professionnels ?</w:t>
            </w:r>
          </w:p>
          <w:p w14:paraId="08D569E8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Quelles sont les procédures de concertation et d’information concernant les points nodaux du fonctionnement (DHG, répartition des services et des blocs horaires…) ? Comment se fait la répartition des services (équilibre des services entre enseignants, tour de rôle, habitude, ancienneté, optimisation des compétences de chacun) ?</w:t>
            </w:r>
          </w:p>
          <w:p w14:paraId="7E4C915D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Quelles sont les sollicitations à destination des personnels pour élaborer ou participer aux projets ? Sous quelles formes ? Qui concernent-elles (indifféremment tous les personnels ou seuls ceux qui habituellement sont volontaires, en identifiant les aptitudes et les compétences de chacun) ?</w:t>
            </w:r>
          </w:p>
          <w:p w14:paraId="5A71A3CE" w14:textId="77777777" w:rsidR="0060469A" w:rsidRPr="0065453C" w:rsidRDefault="0060469A" w:rsidP="0065453C">
            <w:pPr>
              <w:widowControl w:val="0"/>
              <w:tabs>
                <w:tab w:val="left" w:pos="323"/>
              </w:tabs>
              <w:spacing w:before="60"/>
              <w:ind w:right="170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65453C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Reconnaitre, valoriser et faire évoluer les compétences des personnels (gestion personnalisée)</w:t>
            </w:r>
          </w:p>
          <w:p w14:paraId="54A5FBD0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Comment est organisée la gestion des RDV de carrière : temps d’information (collectifs ou individuels), aide à la réflexion sur la pratique professionnelle (auto-évaluation, identification des points forts et des possibles axes d’amélioration), aide à la construction des documents préparatoires (recensement des périodes clés de leurs carrières, identification des pratiques et des engagements à mettre en valeur)</w:t>
            </w:r>
          </w:p>
          <w:p w14:paraId="7EBA3C91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Quelles sont les temps, modalités d’écoute et d’accompagnement des personnels ?</w:t>
            </w:r>
          </w:p>
          <w:p w14:paraId="49B276FE" w14:textId="1B88A01F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Comment les compétences des personnels sont-elles valor</w:t>
            </w:r>
            <w:r w:rsidR="00E704B9">
              <w:rPr>
                <w:rFonts w:asciiTheme="majorHAnsi" w:hAnsiTheme="majorHAnsi"/>
                <w:sz w:val="16"/>
                <w:szCs w:val="16"/>
              </w:rPr>
              <w:t>i</w:t>
            </w:r>
            <w:r w:rsidRPr="0060469A">
              <w:rPr>
                <w:rFonts w:asciiTheme="majorHAnsi" w:hAnsiTheme="majorHAnsi"/>
                <w:sz w:val="16"/>
                <w:szCs w:val="16"/>
              </w:rPr>
              <w:t>sées ?</w:t>
            </w:r>
          </w:p>
          <w:p w14:paraId="5E8BD2E7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i/>
                <w:sz w:val="16"/>
                <w:szCs w:val="16"/>
              </w:rPr>
            </w:pPr>
            <w:r w:rsidRPr="0060469A">
              <w:rPr>
                <w:rFonts w:asciiTheme="majorHAnsi" w:hAnsiTheme="majorHAnsi"/>
                <w:iCs/>
                <w:sz w:val="16"/>
                <w:szCs w:val="16"/>
              </w:rPr>
              <w:t>Les entretiens avec les personnels permettent-ils de mieux repérer et valoriser des compétences particulières qui pourraient être mises au service des élèves et de l’établissement ?</w:t>
            </w:r>
          </w:p>
          <w:p w14:paraId="3526BF96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 xml:space="preserve">Les rapports d’inspection des personnels enseignants et d’éducation sont-ils exploités ? </w:t>
            </w:r>
          </w:p>
          <w:p w14:paraId="2A90A4E7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Comment la prévention des risques psycho-sociaux est-elle organisée ?</w:t>
            </w:r>
          </w:p>
          <w:p w14:paraId="0A12E95E" w14:textId="77777777" w:rsidR="0060469A" w:rsidRPr="0065453C" w:rsidRDefault="0060469A" w:rsidP="0065453C">
            <w:pPr>
              <w:widowControl w:val="0"/>
              <w:tabs>
                <w:tab w:val="left" w:pos="323"/>
              </w:tabs>
              <w:spacing w:before="60"/>
              <w:ind w:right="170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65453C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Former les personnels (formation initiale et continue)</w:t>
            </w:r>
          </w:p>
          <w:p w14:paraId="128F7E83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Comment l’évaluation des besoins de formation des personnels est-elle organisée, formalisée ? Qui demande, qui propose des formations ? (personnels, conseil pédagogique, chef d’établissement, institution, partenaires, etc.)</w:t>
            </w:r>
          </w:p>
          <w:p w14:paraId="25F52662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 xml:space="preserve">Quels sont les objets des formations sollicitées (formations disciplinaires, méthodologiques, connaissance des élèves, lien avec le projet d’établissement, sécurité, formations « sur mesure » ou d’initiative locale …) ? </w:t>
            </w:r>
          </w:p>
          <w:p w14:paraId="48CE3952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Quels sont les personnels concernés ?</w:t>
            </w:r>
          </w:p>
          <w:p w14:paraId="2A79CFB7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Comment est géré le remplacement des enseignants qui sont en formation ?</w:t>
            </w:r>
          </w:p>
          <w:p w14:paraId="1E22598D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En quoi l’établissement peut-il être considéré comme un établissement formateur ?</w:t>
            </w:r>
          </w:p>
          <w:p w14:paraId="64DB8F8F" w14:textId="44B3394D" w:rsidR="0065453C" w:rsidRPr="0065453C" w:rsidRDefault="0060469A" w:rsidP="0065453C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Comment est mesuré l’impact des actions de formation ? Des moments d’échanges sur les pratiques et les contenus sont-ils organisés à l’issue d’une formation ?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Pr="005D0C84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5FB6B1F4" w14:textId="7C396C68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Représentation des différentes catégories de personnels dans le</w:t>
            </w:r>
            <w:r>
              <w:rPr>
                <w:rFonts w:asciiTheme="majorHAnsi" w:hAnsiTheme="majorHAnsi"/>
                <w:sz w:val="16"/>
                <w:szCs w:val="16"/>
              </w:rPr>
              <w:t>s instances de l’établissement.</w:t>
            </w:r>
          </w:p>
          <w:p w14:paraId="7ED5B767" w14:textId="5C5E4145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 xml:space="preserve">Taux d’absence des personnels par an pour des raisons autres que celles liées aux </w:t>
            </w:r>
            <w:r>
              <w:rPr>
                <w:rFonts w:asciiTheme="majorHAnsi" w:hAnsiTheme="majorHAnsi"/>
                <w:sz w:val="16"/>
                <w:szCs w:val="16"/>
              </w:rPr>
              <w:t>convocations par l’institution.</w:t>
            </w:r>
          </w:p>
          <w:p w14:paraId="67E9DB7C" w14:textId="266AB03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Taux de rotation des personnels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119601A3" w14:textId="4D925EC4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Pyramide des âges.</w:t>
            </w:r>
          </w:p>
          <w:p w14:paraId="42C978AC" w14:textId="5A80E02B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 xml:space="preserve">Proportion des personnels selon les corps, des personnels non titulaires et </w:t>
            </w:r>
            <w:r>
              <w:rPr>
                <w:rFonts w:asciiTheme="majorHAnsi" w:hAnsiTheme="majorHAnsi"/>
                <w:sz w:val="16"/>
                <w:szCs w:val="16"/>
              </w:rPr>
              <w:t>titulaires.</w:t>
            </w:r>
          </w:p>
          <w:p w14:paraId="462729A3" w14:textId="1D24A59E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Nombre de RDV de carrière annuel et retour qualitatif des personnels sur l’accompagnement proposé dans l’établissement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6775332C" w14:textId="77777777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Impact des RDV de carrière sur les pratiques professionnelles : nombre de projets, innovations, implication dans la vie de l’établissement, demande de formation…</w:t>
            </w:r>
          </w:p>
          <w:p w14:paraId="1638FA7A" w14:textId="3744F68C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Proportion des personnels promus ou ayant réussi un concours ou un</w:t>
            </w:r>
            <w:r>
              <w:rPr>
                <w:rFonts w:asciiTheme="majorHAnsi" w:hAnsiTheme="majorHAnsi"/>
                <w:sz w:val="16"/>
                <w:szCs w:val="16"/>
              </w:rPr>
              <w:t>e mobilité au cours de l’année.</w:t>
            </w:r>
          </w:p>
          <w:p w14:paraId="22EDC57B" w14:textId="55D981C1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="Tahoma"/>
                <w:sz w:val="16"/>
                <w:szCs w:val="16"/>
              </w:rPr>
            </w:pPr>
            <w:r w:rsidRPr="0060469A">
              <w:rPr>
                <w:rFonts w:asciiTheme="majorHAnsi" w:hAnsiTheme="majorHAnsi" w:cs="Tahoma"/>
                <w:sz w:val="16"/>
                <w:szCs w:val="16"/>
              </w:rPr>
              <w:t>Nombre et type de formations</w:t>
            </w:r>
            <w:r>
              <w:rPr>
                <w:rFonts w:asciiTheme="majorHAnsi" w:hAnsiTheme="majorHAnsi" w:cs="Tahoma"/>
                <w:sz w:val="16"/>
                <w:szCs w:val="16"/>
              </w:rPr>
              <w:t xml:space="preserve"> assurées dans l’établissement.</w:t>
            </w:r>
          </w:p>
          <w:p w14:paraId="16BDCB24" w14:textId="38ECBFE6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Proportion d’avis favorables donnés par le chef d’établissement aux deman</w:t>
            </w:r>
            <w:r>
              <w:rPr>
                <w:rFonts w:asciiTheme="majorHAnsi" w:hAnsiTheme="majorHAnsi"/>
                <w:sz w:val="16"/>
                <w:szCs w:val="16"/>
              </w:rPr>
              <w:t>des de formation des personnels.</w:t>
            </w:r>
          </w:p>
          <w:p w14:paraId="0A26D430" w14:textId="1AC5FA61" w:rsidR="0060469A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6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Nombre de personnes ayant participé à au moins une action de formation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pour l’année scolaire écoulée.</w:t>
            </w:r>
          </w:p>
          <w:p w14:paraId="08109E32" w14:textId="0EA6DA15" w:rsidR="000448D7" w:rsidRPr="0060469A" w:rsidRDefault="0060469A" w:rsidP="0060469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4"/>
                <w:szCs w:val="16"/>
              </w:rPr>
            </w:pPr>
            <w:r w:rsidRPr="0060469A">
              <w:rPr>
                <w:rFonts w:asciiTheme="majorHAnsi" w:hAnsiTheme="majorHAnsi"/>
                <w:sz w:val="16"/>
                <w:szCs w:val="16"/>
              </w:rPr>
              <w:t>Nombre de journées de formation par discipline ou spécialité pour l’année scolaire écoulée.</w:t>
            </w:r>
          </w:p>
        </w:tc>
      </w:tr>
    </w:tbl>
    <w:p w14:paraId="204B9915" w14:textId="77777777" w:rsidR="003A20D5" w:rsidRDefault="003A20D5" w:rsidP="003A20D5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bookmarkStart w:id="1" w:name="_GoBack"/>
      <w:bookmarkEnd w:id="1"/>
    </w:p>
    <w:p w14:paraId="034B54AC" w14:textId="77777777" w:rsidR="003A20D5" w:rsidRPr="00DD0461" w:rsidRDefault="003A20D5" w:rsidP="003A20D5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2C5AE" wp14:editId="3D6A96FC">
                <wp:simplePos x="0" y="0"/>
                <wp:positionH relativeFrom="column">
                  <wp:posOffset>716280</wp:posOffset>
                </wp:positionH>
                <wp:positionV relativeFrom="paragraph">
                  <wp:posOffset>-635</wp:posOffset>
                </wp:positionV>
                <wp:extent cx="2443480" cy="525780"/>
                <wp:effectExtent l="0" t="0" r="0" b="762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18925" w14:textId="540F2D11" w:rsidR="003A20D5" w:rsidRPr="00A16938" w:rsidRDefault="003A20D5" w:rsidP="003A20D5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A1693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Juin 2020 - </w:t>
                            </w:r>
                            <w:r w:rsidR="00A1693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Contributeur</w:t>
                            </w:r>
                            <w:r w:rsidRPr="00A1693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 :</w:t>
                            </w:r>
                          </w:p>
                          <w:p w14:paraId="3E671839" w14:textId="6540C083" w:rsidR="003A20D5" w:rsidRPr="00A16938" w:rsidRDefault="003A20D5" w:rsidP="003A20D5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A1693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Académie de Toulouse</w:t>
                            </w:r>
                          </w:p>
                          <w:p w14:paraId="14191D00" w14:textId="2F5CE279" w:rsidR="003A20D5" w:rsidRPr="00A16938" w:rsidRDefault="003A20D5" w:rsidP="003A20D5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A1693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Mise à jour fiche n° 17 guide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35" o:spid="_x0000_s1027" type="#_x0000_t202" style="position:absolute;left:0;text-align:left;margin-left:56.4pt;margin-top:-.05pt;width:192.4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fnqkwIAAJwFAAAOAAAAZHJzL2Uyb0RvYy54bWysVEtvGyEQvlfqf0Dcm/UzSa2sI9dRqkpR&#10;EtWpIvWGWbBRgaGAvev++g7s+tE0l1S97A7MNzPMN4+r68ZoshU+KLAl7Z/1KBGWQ6XsqqTfnm4/&#10;XFISIrMV02BFSXci0Ovp+3dXtZuIAaxBV8ITdGLDpHYlXcfoJkUR+FoYFs7ACYtKCd6wiEe/KirP&#10;avRudDHo9c6LGnzlPHARAt7etEo6zf6lFDw+SBlEJLqk+LaYvz5/l+lbTK/YZOWZWyvePYP9wysM&#10;UxaDHlzdsMjIxqu/XBnFPQSQ8YyDKUBKxUXOAbPp915ks1gzJ3IuSE5wB5rC/3PL77ePnqiqpIPh&#10;cEyJZQar9B1rRSpBomiiIFmDRNUuTBC/cGgRm0/QYMETgek+4GXKv5HepD9mRlCPlO8ONKMzwvFy&#10;MBoNR5eo4qgbD8YXKKOb4mjtfIifBRiShJJ6LGNml23vQmyhe0gKFkCr6lZpnQ+pdcRce7JlWHQd&#10;8xvR+R8obUld0vPhuJcdW0jmrWdtkxuRm6cLd8wwS3GnRcJo+1VIJC8n+kpsxrmwh/gZnVASQ73F&#10;sMMfX/UW4zYPtMiRwcaDsVEWfM4+T9uRsurHnjLZ4rE2J3knMTbLJnfNoQGWUO2wLzy0IxYcv1VY&#10;vDsW4iPzOFNYb9wT8QE/UgOSD51EyRr8r9fuEx5bHbWU1DijJQ0/N8wLSvQXi0PwsT8apaHOh9H4&#10;YoAHf6pZnmrsxswBO6KPG8nxLCZ81HtRejDPuE5mKSqqmOUYu6RxL85juzlwHXExm2UQjrFj8c4u&#10;HE+uE8upNZ+aZ+Zd179pjO5hP81s8qKNW2yytDDbRJAq93jiuWW14x9XQJ6Sbl2lHXN6zqjjUp3+&#10;BgAA//8DAFBLAwQUAAYACAAAACEAOKJsjeAAAAAIAQAADwAAAGRycy9kb3ducmV2LnhtbEyPT0+D&#10;QBTE7yZ+h80z8WLaBaqlIktjjNrEm8U/8bZln0Bk3xJ2C/jtfZ70OJnJzG/y7Ww7MeLgW0cK4mUE&#10;AqlypqVawUv5sNiA8EGT0Z0jVPCNHrbF6UmuM+MmesZxH2rBJeQzraAJoc+k9FWDVvul65HY+3SD&#10;1YHlUEsz6InLbSeTKFpLq1vihUb3eNdg9bU/WgUfF/X7k58fX6fV1aq/341l+mZKpc7P5tsbEAHn&#10;8BeGX3xGh4KZDu5IxouOdZwwelCwiEGwf3mdrkEcFGySFGSRy/8Hih8AAAD//wMAUEsBAi0AFAAG&#10;AAgAAAAhALaDOJL+AAAA4QEAABMAAAAAAAAAAAAAAAAAAAAAAFtDb250ZW50X1R5cGVzXS54bWxQ&#10;SwECLQAUAAYACAAAACEAOP0h/9YAAACUAQAACwAAAAAAAAAAAAAAAAAvAQAAX3JlbHMvLnJlbHNQ&#10;SwECLQAUAAYACAAAACEA+FX56pMCAACcBQAADgAAAAAAAAAAAAAAAAAuAgAAZHJzL2Uyb0RvYy54&#10;bWxQSwECLQAUAAYACAAAACEAOKJsjeAAAAAIAQAADwAAAAAAAAAAAAAAAADtBAAAZHJzL2Rvd25y&#10;ZXYueG1sUEsFBgAAAAAEAAQA8wAAAPoFAAAAAA==&#10;" fillcolor="white [3201]" stroked="f" strokeweight=".5pt">
                <v:textbox>
                  <w:txbxContent>
                    <w:p w14:paraId="23318925" w14:textId="540F2D11" w:rsidR="003A20D5" w:rsidRPr="00A16938" w:rsidRDefault="003A20D5" w:rsidP="003A20D5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A1693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Juin 2020 - </w:t>
                      </w:r>
                      <w:r w:rsidR="00A1693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Contributeur</w:t>
                      </w:r>
                      <w:r w:rsidRPr="00A1693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 :</w:t>
                      </w:r>
                    </w:p>
                    <w:p w14:paraId="3E671839" w14:textId="6540C083" w:rsidR="003A20D5" w:rsidRPr="00A16938" w:rsidRDefault="003A20D5" w:rsidP="003A20D5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A1693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Académie de Toulouse</w:t>
                      </w:r>
                    </w:p>
                    <w:p w14:paraId="14191D00" w14:textId="2F5CE279" w:rsidR="003A20D5" w:rsidRPr="00A16938" w:rsidRDefault="003A20D5" w:rsidP="003A20D5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A1693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Mise à jour fiche n° 17 guide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0776A0" wp14:editId="035EA77A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9CE24" w14:textId="77777777" w:rsidR="003A20D5" w:rsidRPr="00663E53" w:rsidRDefault="003A20D5" w:rsidP="003A20D5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.55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/0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FJFR40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OLb&#10;3UXZAAAABAEAAA8AAABkcnMvZG93bnJldi54bWxMj8FOwzAQRO9I/IO1SNyo0wChCnGqCsGFC6Vw&#10;6W0TL0kgXke224a/ZznBcTSjmTfVenajOlKIg2cDy0UGirj1duDOwPvb09UKVEzIFkfPZOCbIqzr&#10;87MKS+tP/ErHXeqUlHAs0UCf0lRqHdueHMaFn4jF+/DBYRIZOm0DnqTcjTrPskI7HFgWepzooaf2&#10;a3dwBvBlQ3YbPrf0+Jzf3jTN3s7F3pjLi3lzDyrRnP7C8Isv6FALU+MPbKMaRS8laED+iLkqrkE1&#10;Bu6KHHRd6f/w9Q8AAAD//wMAUEsBAi0AFAAGAAgAAAAhALaDOJL+AAAA4QEAABMAAAAAAAAAAAAA&#10;AAAAAAAAAFtDb250ZW50X1R5cGVzXS54bWxQSwECLQAUAAYACAAAACEAOP0h/9YAAACUAQAACwAA&#10;AAAAAAAAAAAAAAAvAQAAX3JlbHMvLnJlbHNQSwECLQAUAAYACAAAACEARsqv9O4CAABKBgAADgAA&#10;AAAAAAAAAAAAAAAuAgAAZHJzL2Uyb0RvYy54bWxQSwECLQAUAAYACAAAACEA4tvdRd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45B9CE24" w14:textId="77777777" w:rsidR="003A20D5" w:rsidRPr="00663E53" w:rsidRDefault="003A20D5" w:rsidP="003A20D5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BB482" wp14:editId="3058BA1E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95FD35" w14:textId="77777777" w:rsidR="003A20D5" w:rsidRPr="00895522" w:rsidRDefault="003A20D5" w:rsidP="003A20D5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4295FD35" w14:textId="77777777" w:rsidR="003A20D5" w:rsidRPr="00895522" w:rsidRDefault="003A20D5" w:rsidP="003A20D5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8D109" wp14:editId="3CA832B1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B112D8" w14:textId="77777777" w:rsidR="003A20D5" w:rsidRPr="00FB3238" w:rsidRDefault="003A20D5" w:rsidP="003A20D5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50B112D8" w14:textId="77777777" w:rsidR="003A20D5" w:rsidRPr="00FB3238" w:rsidRDefault="003A20D5" w:rsidP="003A20D5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AD83C6" wp14:editId="6AA503BE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4C53B42" w14:textId="77777777" w:rsidR="003A20D5" w:rsidRPr="00FB3238" w:rsidRDefault="003A20D5" w:rsidP="003A20D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34C53B42" w14:textId="77777777" w:rsidR="003A20D5" w:rsidRPr="00FB3238" w:rsidRDefault="003A20D5" w:rsidP="003A20D5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D6E6F" wp14:editId="67D26D11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635CFA4B" w14:textId="77777777" w:rsidR="003A20D5" w:rsidRPr="00FB3238" w:rsidRDefault="003A20D5" w:rsidP="003A20D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635CFA4B" w14:textId="77777777" w:rsidR="003A20D5" w:rsidRPr="00FB3238" w:rsidRDefault="003A20D5" w:rsidP="003A20D5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2466A8A1" w14:textId="60B5FCD2" w:rsidR="00C7213D" w:rsidRPr="003A20D5" w:rsidRDefault="003A20D5" w:rsidP="003A20D5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AF0FBA" wp14:editId="6CFB1148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8283BFF" w14:textId="77777777" w:rsidR="003A20D5" w:rsidRPr="00FB3238" w:rsidRDefault="003A20D5" w:rsidP="003A20D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38283BFF" w14:textId="77777777" w:rsidR="003A20D5" w:rsidRPr="00FB3238" w:rsidRDefault="003A20D5" w:rsidP="003A20D5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2F8A1" wp14:editId="169933E6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6070B11F" w14:textId="77777777" w:rsidR="003A20D5" w:rsidRPr="00FB3238" w:rsidRDefault="003A20D5" w:rsidP="003A20D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6070B11F" w14:textId="77777777" w:rsidR="003A20D5" w:rsidRPr="00FB3238" w:rsidRDefault="003A20D5" w:rsidP="003A20D5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3.4</w:t>
      </w:r>
    </w:p>
    <w:sectPr w:rsidR="00C7213D" w:rsidRPr="003A20D5" w:rsidSect="0065453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 w:code="9"/>
      <w:pgMar w:top="284" w:right="1702" w:bottom="142" w:left="720" w:header="142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Myriad Pr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7F4FF" w14:textId="77777777" w:rsidR="008068CE" w:rsidRDefault="008068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2C681" w14:textId="2A372322" w:rsidR="00C55919" w:rsidRPr="00DD0461" w:rsidRDefault="00C55919" w:rsidP="0065453C">
    <w:pPr>
      <w:spacing w:line="276" w:lineRule="auto"/>
      <w:ind w:right="-108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95923" w14:textId="77777777" w:rsidR="008068CE" w:rsidRDefault="008068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4B6DF" w14:textId="77777777" w:rsidR="008068CE" w:rsidRDefault="008068C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019F8" w14:textId="77777777" w:rsidR="008068CE" w:rsidRDefault="008068C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D4B12" w14:textId="77777777" w:rsidR="008068CE" w:rsidRDefault="008068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79F3213"/>
    <w:multiLevelType w:val="hybridMultilevel"/>
    <w:tmpl w:val="6B5E9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>
    <w:nsid w:val="2FD00549"/>
    <w:multiLevelType w:val="hybridMultilevel"/>
    <w:tmpl w:val="D6AC3B8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9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6"/>
  </w:num>
  <w:num w:numId="5">
    <w:abstractNumId w:val="12"/>
  </w:num>
  <w:num w:numId="6">
    <w:abstractNumId w:val="2"/>
  </w:num>
  <w:num w:numId="7">
    <w:abstractNumId w:val="19"/>
  </w:num>
  <w:num w:numId="8">
    <w:abstractNumId w:val="9"/>
  </w:num>
  <w:num w:numId="9">
    <w:abstractNumId w:val="16"/>
  </w:num>
  <w:num w:numId="10">
    <w:abstractNumId w:val="11"/>
  </w:num>
  <w:num w:numId="11">
    <w:abstractNumId w:val="14"/>
  </w:num>
  <w:num w:numId="12">
    <w:abstractNumId w:val="15"/>
  </w:num>
  <w:num w:numId="13">
    <w:abstractNumId w:val="21"/>
  </w:num>
  <w:num w:numId="14">
    <w:abstractNumId w:val="7"/>
  </w:num>
  <w:num w:numId="15">
    <w:abstractNumId w:val="1"/>
  </w:num>
  <w:num w:numId="16">
    <w:abstractNumId w:val="20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0"/>
  </w:num>
  <w:num w:numId="24">
    <w:abstractNumId w:val="18"/>
  </w:num>
  <w:num w:numId="25">
    <w:abstractNumId w:val="5"/>
  </w:num>
  <w:num w:numId="26">
    <w:abstractNumId w:val="22"/>
  </w:num>
  <w:num w:numId="27">
    <w:abstractNumId w:val="10"/>
  </w:num>
  <w:num w:numId="28">
    <w:abstractNumId w:val="13"/>
  </w:num>
  <w:num w:numId="2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0D5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81C1F"/>
    <w:rsid w:val="0049243E"/>
    <w:rsid w:val="00497B89"/>
    <w:rsid w:val="004C50FC"/>
    <w:rsid w:val="004E1B48"/>
    <w:rsid w:val="004F1453"/>
    <w:rsid w:val="004F29AB"/>
    <w:rsid w:val="004F5FEC"/>
    <w:rsid w:val="00510660"/>
    <w:rsid w:val="00515084"/>
    <w:rsid w:val="005154A8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5F196B"/>
    <w:rsid w:val="00600DE1"/>
    <w:rsid w:val="006022EB"/>
    <w:rsid w:val="006041C9"/>
    <w:rsid w:val="0060469A"/>
    <w:rsid w:val="00605807"/>
    <w:rsid w:val="006243E9"/>
    <w:rsid w:val="00624E57"/>
    <w:rsid w:val="00647E0B"/>
    <w:rsid w:val="0065453C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068CE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8A2"/>
    <w:rsid w:val="009A360D"/>
    <w:rsid w:val="009A4FD5"/>
    <w:rsid w:val="009A5FCA"/>
    <w:rsid w:val="009B6E81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16938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5919"/>
    <w:rsid w:val="00C57688"/>
    <w:rsid w:val="00C57CB8"/>
    <w:rsid w:val="00C605FC"/>
    <w:rsid w:val="00C64CA0"/>
    <w:rsid w:val="00C65962"/>
    <w:rsid w:val="00C7213D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4B9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5A0A"/>
    <w:rsid w:val="00EE5FFB"/>
    <w:rsid w:val="00EF42E1"/>
    <w:rsid w:val="00F02DBF"/>
    <w:rsid w:val="00F0341F"/>
    <w:rsid w:val="00F1044F"/>
    <w:rsid w:val="00F17B5F"/>
    <w:rsid w:val="00F24B2E"/>
    <w:rsid w:val="00F25510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BD5"/>
    <w:rsid w:val="00FB2E19"/>
    <w:rsid w:val="00FB3119"/>
    <w:rsid w:val="00FB4A30"/>
    <w:rsid w:val="00FD76EA"/>
    <w:rsid w:val="00FE0FBF"/>
    <w:rsid w:val="00FE2D27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793B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99"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99"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cation.gouv.fr/pid25535/bulletin_officiel.html?cid_bo=87302" TargetMode="External"/><Relationship Id="rId18" Type="http://schemas.openxmlformats.org/officeDocument/2006/relationships/hyperlink" Target="https://www.legifrance.gouv.fr/affichTexte.do?cidTexte=JORFTEXT000034600973&amp;dateTexte=2020060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education.gouv.fr/rendez-vous-de-carriere-mode-d-emploi-4162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ducation.gouv.fr/pid25535/bulletin_officiel.html?cid_bo=73066" TargetMode="External"/><Relationship Id="rId17" Type="http://schemas.openxmlformats.org/officeDocument/2006/relationships/hyperlink" Target="http://cache.media.eduscol.education.fr/file/education_prioritaire_et_accompagnement/53/5/referentiel_education_prioritaire_294535.pd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education.gouv.fr/pid285/bulletin_officiel.html?cid_bo=91890" TargetMode="External"/><Relationship Id="rId20" Type="http://schemas.openxmlformats.org/officeDocument/2006/relationships/hyperlink" Target="https://www.legifrance.gouv.fr/affichTexte.do?cidTexte=JORFTEXT000034632395&amp;dateTexte=20200604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france.gouv.fr/affichTexte.do?cidTexte=JORFTEXT000029390906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education.gouv.fr/cid52615/menh1011260c.html" TargetMode="External"/><Relationship Id="rId23" Type="http://schemas.openxmlformats.org/officeDocument/2006/relationships/image" Target="file:///C:\Users\Utilisateur\Pictures\qualeduc\visuel_Qualeduc_4_violet.jpg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legifrance.gouv.fr/affichTexte.do?cidTexte=JORFTEXT000022593931" TargetMode="External"/><Relationship Id="rId19" Type="http://schemas.openxmlformats.org/officeDocument/2006/relationships/hyperlink" Target="https://www.legifrance.gouv.fr/affichTexte.do?cidTexte=JORFTEXT000034601473&amp;dateTexte=20200604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legifrance.gouv.fr/affichTexte.do?cidTexte=LEGITEXT000006080320" TargetMode="External"/><Relationship Id="rId14" Type="http://schemas.openxmlformats.org/officeDocument/2006/relationships/hyperlink" Target="http://www.education.gouv.fr/cid52614/menh1012598a.html" TargetMode="External"/><Relationship Id="rId22" Type="http://schemas.openxmlformats.org/officeDocument/2006/relationships/image" Target="media/image1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930106-08F1-4CA9-8A2A-BBA71405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898</Words>
  <Characters>6878</Characters>
  <Application>Microsoft Office Word</Application>
  <DocSecurity>0</DocSecurity>
  <Lines>57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DGESCO A22</cp:lastModifiedBy>
  <cp:revision>10</cp:revision>
  <cp:lastPrinted>2020-08-11T09:27:00Z</cp:lastPrinted>
  <dcterms:created xsi:type="dcterms:W3CDTF">2020-08-13T08:40:00Z</dcterms:created>
  <dcterms:modified xsi:type="dcterms:W3CDTF">2020-10-08T13:15:00Z</dcterms:modified>
</cp:coreProperties>
</file>