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7A28C9" w:rsidRPr="00B53959" w:rsidTr="00EA3165">
        <w:tc>
          <w:tcPr>
            <w:tcW w:w="4590" w:type="dxa"/>
            <w:tcBorders>
              <w:top w:val="nil"/>
              <w:left w:val="nil"/>
              <w:bottom w:val="nil"/>
              <w:right w:val="nil"/>
            </w:tcBorders>
          </w:tcPr>
          <w:p w:rsidR="007A28C9" w:rsidRDefault="007A28C9"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NICE</w:t>
            </w:r>
          </w:p>
          <w:p w:rsidR="007A28C9" w:rsidRPr="00B53959" w:rsidRDefault="007A28C9" w:rsidP="00EA3165">
            <w:pPr>
              <w:ind w:left="-2214" w:firstLine="2214"/>
              <w:rPr>
                <w:rFonts w:ascii="Arial Narrow" w:hAnsi="Arial Narrow"/>
                <w:sz w:val="30"/>
                <w:szCs w:val="30"/>
              </w:rPr>
            </w:pPr>
          </w:p>
        </w:tc>
      </w:tr>
      <w:tr w:rsidR="007A28C9"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7A28C9" w:rsidRPr="00D86A06" w:rsidRDefault="007A28C9" w:rsidP="00EA3165">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ANR CREAMAKER</w:t>
            </w:r>
          </w:p>
        </w:tc>
      </w:tr>
    </w:tbl>
    <w:p w:rsidR="007A28C9" w:rsidRPr="00622211" w:rsidRDefault="007A28C9" w:rsidP="007A28C9">
      <w:pPr>
        <w:tabs>
          <w:tab w:val="left" w:pos="1466"/>
        </w:tabs>
        <w:spacing w:after="0"/>
        <w:rPr>
          <w:rFonts w:ascii="Arial Narrow" w:hAnsi="Arial Narrow"/>
          <w:sz w:val="16"/>
          <w:szCs w:val="16"/>
        </w:rPr>
      </w:pPr>
    </w:p>
    <w:p w:rsidR="007A28C9" w:rsidRDefault="007A28C9" w:rsidP="007A28C9">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7A28C9" w:rsidRDefault="007A28C9" w:rsidP="007A28C9">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10/1/2022</w:t>
      </w:r>
    </w:p>
    <w:p w:rsidR="007A28C9" w:rsidRPr="00622211" w:rsidRDefault="007A28C9" w:rsidP="007A28C9">
      <w:pPr>
        <w:tabs>
          <w:tab w:val="left" w:pos="1466"/>
        </w:tabs>
        <w:spacing w:after="0"/>
        <w:rPr>
          <w:rFonts w:ascii="Arial Narrow" w:hAnsi="Arial Narrow"/>
          <w:sz w:val="16"/>
          <w:szCs w:val="16"/>
        </w:rPr>
      </w:pPr>
    </w:p>
    <w:p w:rsidR="007A28C9" w:rsidRPr="003F3D8D" w:rsidRDefault="007A28C9" w:rsidP="007A28C9">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7A28C9" w:rsidRPr="00622211" w:rsidRDefault="007A28C9" w:rsidP="007A28C9">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7A28C9" w:rsidRPr="00B53959" w:rsidTr="00EA3165">
        <w:tc>
          <w:tcPr>
            <w:tcW w:w="9288" w:type="dxa"/>
            <w:gridSpan w:val="2"/>
            <w:tcBorders>
              <w:bottom w:val="single" w:sz="4" w:space="0" w:color="auto"/>
            </w:tcBorders>
            <w:shd w:val="clear" w:color="auto" w:fill="DBE5F1" w:themeFill="accent1" w:themeFillTint="33"/>
          </w:tcPr>
          <w:p w:rsidR="007A28C9" w:rsidRDefault="007A28C9"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7A28C9" w:rsidRDefault="007A28C9" w:rsidP="00EA3165">
            <w:pPr>
              <w:jc w:val="both"/>
              <w:rPr>
                <w:rFonts w:ascii="Arial Narrow" w:hAnsi="Arial Narrow"/>
                <w:noProof/>
              </w:rPr>
            </w:pPr>
            <w:r w:rsidRPr="004D1D57">
              <w:rPr>
                <w:rFonts w:ascii="Arial Narrow" w:hAnsi="Arial Narrow"/>
                <w:noProof/>
              </w:rPr>
              <w:t xml:space="preserve">Le projet ANR #CreaMaker vise </w:t>
            </w:r>
            <w:r w:rsidR="0011760E">
              <w:rPr>
                <w:rFonts w:ascii="Arial Narrow" w:hAnsi="Arial Narrow"/>
                <w:noProof/>
              </w:rPr>
              <w:t xml:space="preserve">à faire </w:t>
            </w:r>
            <w:r w:rsidRPr="004D1D57">
              <w:rPr>
                <w:rFonts w:ascii="Arial Narrow" w:hAnsi="Arial Narrow"/>
                <w:noProof/>
              </w:rPr>
              <w:t>avancer les connaissances sur le processus de co-créativité, non seulement dans des équipes du même âge, mais aussi dans des équipes intergénérationnelles. Les expérimentations ont lieu dans les écoles, les collèges et à l'</w:t>
            </w:r>
            <w:r w:rsidR="0011760E" w:rsidRPr="0011760E">
              <w:rPr>
                <w:rFonts w:ascii="Arial Narrow" w:hAnsi="Arial Narrow"/>
                <w:noProof/>
              </w:rPr>
              <w:t>institut national supérieur du professorat et de l’éducation</w:t>
            </w:r>
            <w:r w:rsidRPr="004D1D57">
              <w:rPr>
                <w:rFonts w:ascii="Arial Narrow" w:hAnsi="Arial Narrow"/>
                <w:noProof/>
              </w:rPr>
              <w:t xml:space="preserve"> de l'Académie de Nice.</w:t>
            </w:r>
          </w:p>
          <w:p w:rsidR="007A28C9" w:rsidRPr="00B53959" w:rsidRDefault="007A28C9" w:rsidP="00EA3165">
            <w:pPr>
              <w:jc w:val="both"/>
              <w:rPr>
                <w:rFonts w:ascii="Arial Narrow" w:hAnsi="Arial Narrow"/>
              </w:rPr>
            </w:pPr>
          </w:p>
        </w:tc>
      </w:tr>
      <w:tr w:rsidR="007A28C9"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7A28C9" w:rsidRDefault="007A28C9"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7A28C9" w:rsidRPr="004C2BA9" w:rsidRDefault="007A28C9" w:rsidP="00EA3165">
            <w:pPr>
              <w:pStyle w:val="Paragraphedeliste"/>
              <w:numPr>
                <w:ilvl w:val="0"/>
                <w:numId w:val="1"/>
              </w:numPr>
              <w:rPr>
                <w:rFonts w:ascii="Arial Narrow" w:hAnsi="Arial Narrow"/>
              </w:rPr>
            </w:pPr>
            <w:r w:rsidRPr="004D1D57">
              <w:rPr>
                <w:rFonts w:ascii="Arial Narrow" w:hAnsi="Arial Narrow"/>
                <w:noProof/>
              </w:rPr>
              <w:t>Médias et esprit critique</w:t>
            </w:r>
          </w:p>
          <w:p w:rsidR="007A28C9" w:rsidRPr="004C2BA9" w:rsidRDefault="007A28C9"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7A28C9" w:rsidRPr="00323C48" w:rsidRDefault="007A28C9" w:rsidP="00EA3165">
            <w:pPr>
              <w:pStyle w:val="Paragraphedeliste"/>
              <w:rPr>
                <w:rFonts w:ascii="Arial Narrow" w:hAnsi="Arial Narrow"/>
              </w:rPr>
            </w:pPr>
          </w:p>
        </w:tc>
      </w:tr>
      <w:tr w:rsidR="007A28C9" w:rsidRPr="00B53959" w:rsidTr="00EA3165">
        <w:tc>
          <w:tcPr>
            <w:tcW w:w="9288" w:type="dxa"/>
            <w:gridSpan w:val="2"/>
            <w:tcBorders>
              <w:top w:val="single" w:sz="4" w:space="0" w:color="auto"/>
              <w:bottom w:val="single" w:sz="4" w:space="0" w:color="auto"/>
            </w:tcBorders>
            <w:shd w:val="clear" w:color="auto" w:fill="B8CCE4" w:themeFill="accent1" w:themeFillTint="66"/>
          </w:tcPr>
          <w:p w:rsidR="007A28C9" w:rsidRDefault="007A28C9" w:rsidP="00EA3165">
            <w:pPr>
              <w:spacing w:after="60"/>
              <w:jc w:val="both"/>
              <w:rPr>
                <w:rFonts w:ascii="Arial Narrow" w:hAnsi="Arial Narrow"/>
                <w:b/>
              </w:rPr>
            </w:pPr>
            <w:r>
              <w:rPr>
                <w:rFonts w:ascii="Arial Narrow" w:hAnsi="Arial Narrow"/>
                <w:b/>
              </w:rPr>
              <w:t>Hypothèses à évaluer :</w:t>
            </w:r>
          </w:p>
          <w:p w:rsidR="007A28C9" w:rsidRPr="00031B92" w:rsidRDefault="007A28C9" w:rsidP="00EA3165">
            <w:pPr>
              <w:jc w:val="both"/>
              <w:rPr>
                <w:rFonts w:ascii="Arial Narrow" w:hAnsi="Arial Narrow"/>
                <w:noProof/>
              </w:rPr>
            </w:pPr>
            <w:r w:rsidRPr="004D1D57">
              <w:rPr>
                <w:rFonts w:ascii="Arial Narrow" w:hAnsi="Arial Narrow"/>
                <w:noProof/>
              </w:rPr>
              <w:t>Dans les équipes du même groupe d’âge, nous nous attendons à un niveau plus élevé de co-créativité entre les plus jeunes (H2</w:t>
            </w:r>
            <w:r w:rsidR="0011760E">
              <w:rPr>
                <w:rFonts w:ascii="Arial Narrow" w:hAnsi="Arial Narrow"/>
                <w:noProof/>
              </w:rPr>
              <w:t xml:space="preserve"> </w:t>
            </w:r>
            <w:r w:rsidRPr="004D1D57">
              <w:rPr>
                <w:rFonts w:ascii="Arial Narrow" w:hAnsi="Arial Narrow"/>
                <w:noProof/>
              </w:rPr>
              <w:t>: les équipes plus jeunes sont plus co-créatives). Le projet #CreaMaker analyse également le processus de co-créativité en lien aux attitudes de tolérance à l'erreur des participants (H3), de tolérance à l'ambiguïté (H4) et de prise de risque (H5). Ces hypothèses sont analysées de manière longitudinale dans le cadre d'activités « maker ». Le projet #CreaMaker rendra disponibles les articles de recherche et les communications en libre accès, l'instrument d'évaluation de la co-créativité et les activités « maker » via le site Internet #CreaMaker. Cette mise en ligne vise à assurer une diffusion ouverte tant des contributions méthodologiques que des résultats scientifiques.</w:t>
            </w:r>
          </w:p>
          <w:p w:rsidR="007A28C9" w:rsidRPr="00323C48" w:rsidRDefault="007A28C9" w:rsidP="00EA3165">
            <w:pPr>
              <w:jc w:val="both"/>
              <w:rPr>
                <w:rFonts w:ascii="Arial Narrow" w:hAnsi="Arial Narrow"/>
                <w:noProof/>
                <w:sz w:val="10"/>
                <w:szCs w:val="10"/>
              </w:rPr>
            </w:pPr>
          </w:p>
          <w:p w:rsidR="007A28C9" w:rsidRPr="00117827" w:rsidRDefault="007A28C9" w:rsidP="00EA3165">
            <w:pPr>
              <w:jc w:val="both"/>
              <w:rPr>
                <w:rFonts w:ascii="Arial Narrow" w:hAnsi="Arial Narrow"/>
                <w:i/>
                <w:noProof/>
              </w:rPr>
            </w:pPr>
          </w:p>
        </w:tc>
      </w:tr>
      <w:tr w:rsidR="007A28C9" w:rsidRPr="00B53959" w:rsidTr="00EA3165">
        <w:tc>
          <w:tcPr>
            <w:tcW w:w="9288" w:type="dxa"/>
            <w:gridSpan w:val="2"/>
            <w:tcBorders>
              <w:top w:val="single" w:sz="4" w:space="0" w:color="auto"/>
              <w:bottom w:val="single" w:sz="4" w:space="0" w:color="auto"/>
            </w:tcBorders>
            <w:shd w:val="clear" w:color="auto" w:fill="B8CCE4" w:themeFill="accent1" w:themeFillTint="66"/>
          </w:tcPr>
          <w:p w:rsidR="007A28C9" w:rsidRDefault="007A28C9" w:rsidP="00EA3165">
            <w:pPr>
              <w:spacing w:after="60"/>
              <w:jc w:val="both"/>
              <w:rPr>
                <w:rFonts w:ascii="Arial Narrow" w:hAnsi="Arial Narrow"/>
                <w:b/>
              </w:rPr>
            </w:pPr>
            <w:r>
              <w:rPr>
                <w:rFonts w:ascii="Arial Narrow" w:hAnsi="Arial Narrow"/>
                <w:b/>
              </w:rPr>
              <w:t>Méthode d’évaluation :</w:t>
            </w:r>
          </w:p>
          <w:p w:rsidR="007A28C9" w:rsidRDefault="007A28C9" w:rsidP="00EA3165">
            <w:pPr>
              <w:jc w:val="both"/>
              <w:rPr>
                <w:rFonts w:ascii="Arial Narrow" w:hAnsi="Arial Narrow"/>
                <w:noProof/>
              </w:rPr>
            </w:pPr>
            <w:r w:rsidRPr="004D1D57">
              <w:rPr>
                <w:rFonts w:ascii="Arial Narrow" w:hAnsi="Arial Narrow"/>
                <w:noProof/>
              </w:rPr>
              <w:t>La résolution de la tâche avec le matériel de robotique modulaire Cubelets implique la manipulation et l’assemblage des cubes en vue de construire un véhicule qui se déplace de manière autonome d’un point initial (P1) à un point final (P2).  Cette tâche peut paraître simple en raison de l’assemblage de cubes.  Toutefois,  un  nombre  limité  de  manière</w:t>
            </w:r>
            <w:r w:rsidR="0011760E">
              <w:rPr>
                <w:rFonts w:ascii="Arial Narrow" w:hAnsi="Arial Narrow"/>
                <w:noProof/>
              </w:rPr>
              <w:t>s</w:t>
            </w:r>
            <w:r w:rsidRPr="004D1D57">
              <w:rPr>
                <w:rFonts w:ascii="Arial Narrow" w:hAnsi="Arial Narrow"/>
                <w:noProof/>
              </w:rPr>
              <w:t xml:space="preserve"> permet d’assembler  les  pièces  selon  une  structure équilibré</w:t>
            </w:r>
            <w:r w:rsidR="0011760E">
              <w:rPr>
                <w:rFonts w:ascii="Arial Narrow" w:hAnsi="Arial Narrow"/>
                <w:noProof/>
              </w:rPr>
              <w:t>e</w:t>
            </w:r>
            <w:r w:rsidRPr="004D1D57">
              <w:rPr>
                <w:rFonts w:ascii="Arial Narrow" w:hAnsi="Arial Narrow"/>
                <w:noProof/>
              </w:rPr>
              <w:t>.  Par  exemple,  il  est  possible  de  faire  un assemblage horizontal de l’ensemble de pièces ou encore  de  poser  les  cubes  sur deux  étages  complets  ou  partiels  de  cubes.  Selon  un  ordre  de fonctionnalité, la pièce rouge doit se retrouver entre le capteur de distance et le cube de type actuateur qui comprend des roues pour permettre l’inversion du déplacement. Ainsi, si le participant assemble  les pièces de manière verticale, en créant une colonne, la structure ne permet pas de garder la stabilité lors du déplacement, ce qui conduit à une difficulté à réaliser une structure équilibrée. D’autre part, si les participants placent le cube rouge à l’une des extrémités du robot, il risque de ne pas agir comme « inverseur ».  Cette tâche nous permet d'évaluer la résolution créative de problèmes tant en contexte individuel comme en contexte de binômes.</w:t>
            </w:r>
          </w:p>
          <w:p w:rsidR="007A28C9" w:rsidRPr="00323C48" w:rsidRDefault="007A28C9" w:rsidP="00EA3165">
            <w:pPr>
              <w:jc w:val="both"/>
              <w:rPr>
                <w:rFonts w:ascii="Arial Narrow" w:hAnsi="Arial Narrow"/>
                <w:noProof/>
                <w:sz w:val="10"/>
                <w:szCs w:val="10"/>
              </w:rPr>
            </w:pPr>
          </w:p>
          <w:p w:rsidR="007A28C9" w:rsidRPr="00073B9C" w:rsidRDefault="007A28C9" w:rsidP="00EA3165">
            <w:pPr>
              <w:spacing w:after="60"/>
              <w:rPr>
                <w:rFonts w:ascii="Arial Narrow" w:hAnsi="Arial Narrow"/>
                <w:i/>
              </w:rPr>
            </w:pPr>
          </w:p>
        </w:tc>
      </w:tr>
      <w:tr w:rsidR="007A28C9" w:rsidRPr="00B53959" w:rsidTr="00EA3165">
        <w:tc>
          <w:tcPr>
            <w:tcW w:w="9288" w:type="dxa"/>
            <w:gridSpan w:val="2"/>
            <w:tcBorders>
              <w:top w:val="single" w:sz="4" w:space="0" w:color="auto"/>
              <w:bottom w:val="single" w:sz="4" w:space="0" w:color="auto"/>
            </w:tcBorders>
            <w:shd w:val="clear" w:color="auto" w:fill="B8CCE4" w:themeFill="accent1" w:themeFillTint="66"/>
          </w:tcPr>
          <w:p w:rsidR="007A28C9" w:rsidRDefault="007A28C9" w:rsidP="00EA3165">
            <w:pPr>
              <w:spacing w:after="60"/>
              <w:jc w:val="both"/>
              <w:rPr>
                <w:rFonts w:ascii="Arial Narrow" w:hAnsi="Arial Narrow"/>
                <w:b/>
              </w:rPr>
            </w:pPr>
            <w:r>
              <w:rPr>
                <w:rFonts w:ascii="Arial Narrow" w:hAnsi="Arial Narrow"/>
                <w:b/>
              </w:rPr>
              <w:t>Responsables de l’évaluation :</w:t>
            </w:r>
          </w:p>
          <w:p w:rsidR="007A28C9" w:rsidRDefault="007A28C9" w:rsidP="00EA3165">
            <w:pPr>
              <w:jc w:val="both"/>
              <w:rPr>
                <w:rFonts w:ascii="Arial Narrow" w:hAnsi="Arial Narrow"/>
              </w:rPr>
            </w:pPr>
            <w:r w:rsidRPr="004D1D57">
              <w:rPr>
                <w:rFonts w:ascii="Arial Narrow" w:hAnsi="Arial Narrow"/>
                <w:noProof/>
              </w:rPr>
              <w:t>L'évaluation est réalisée par l'équipe de recherche du projet ANR #CreaMaker sous la direction de la professeure Margarida Romero.</w:t>
            </w:r>
          </w:p>
          <w:p w:rsidR="007A28C9" w:rsidRPr="00323C48" w:rsidRDefault="007A28C9" w:rsidP="00EA3165">
            <w:pPr>
              <w:jc w:val="both"/>
              <w:rPr>
                <w:rFonts w:ascii="Arial Narrow" w:hAnsi="Arial Narrow"/>
                <w:noProof/>
                <w:sz w:val="10"/>
                <w:szCs w:val="10"/>
              </w:rPr>
            </w:pPr>
          </w:p>
          <w:p w:rsidR="007A28C9" w:rsidRDefault="007A28C9" w:rsidP="00EA3165">
            <w:pPr>
              <w:spacing w:after="60"/>
              <w:rPr>
                <w:rFonts w:ascii="Arial Narrow" w:hAnsi="Arial Narrow"/>
                <w:b/>
              </w:rPr>
            </w:pPr>
          </w:p>
        </w:tc>
      </w:tr>
      <w:tr w:rsidR="007A28C9" w:rsidRPr="00B53959" w:rsidTr="00EA3165">
        <w:tc>
          <w:tcPr>
            <w:tcW w:w="9288" w:type="dxa"/>
            <w:gridSpan w:val="2"/>
            <w:tcBorders>
              <w:top w:val="single" w:sz="4" w:space="0" w:color="auto"/>
              <w:bottom w:val="single" w:sz="4" w:space="0" w:color="auto"/>
            </w:tcBorders>
            <w:shd w:val="clear" w:color="auto" w:fill="B8CCE4" w:themeFill="accent1" w:themeFillTint="66"/>
          </w:tcPr>
          <w:p w:rsidR="007A28C9" w:rsidRDefault="007A28C9" w:rsidP="00EA3165">
            <w:pPr>
              <w:spacing w:after="60"/>
              <w:jc w:val="both"/>
              <w:rPr>
                <w:rFonts w:ascii="Arial Narrow" w:hAnsi="Arial Narrow"/>
                <w:b/>
              </w:rPr>
            </w:pPr>
            <w:r>
              <w:rPr>
                <w:rFonts w:ascii="Arial Narrow" w:hAnsi="Arial Narrow"/>
                <w:b/>
              </w:rPr>
              <w:t>Résultats année précédente :</w:t>
            </w:r>
          </w:p>
          <w:p w:rsidR="007A28C9" w:rsidRDefault="007A28C9" w:rsidP="00EA3165">
            <w:pPr>
              <w:pStyle w:val="Paragraphedeliste"/>
              <w:ind w:left="0"/>
              <w:jc w:val="both"/>
              <w:rPr>
                <w:rFonts w:ascii="Arial Narrow" w:hAnsi="Arial Narrow"/>
              </w:rPr>
            </w:pPr>
            <w:r w:rsidRPr="004D1D57">
              <w:rPr>
                <w:rFonts w:ascii="Arial Narrow" w:hAnsi="Arial Narrow"/>
                <w:noProof/>
              </w:rPr>
              <w:t xml:space="preserve">Dans  un  premier  temps, nous  observons  que  les  enfants,  au  contraire  de  nos  hypothèses  initiales, prennent plus de temps pour chacune des phases, notamment au cours de l’activité 1 pour les phases des </w:t>
            </w:r>
            <w:r w:rsidRPr="004D1D57">
              <w:rPr>
                <w:rFonts w:ascii="Arial Narrow" w:hAnsi="Arial Narrow"/>
                <w:noProof/>
              </w:rPr>
              <w:lastRenderedPageBreak/>
              <w:t>consignes et d’observation. Leur méconnaissance des cubes et la tâche leur fait prendre un temps important  dès  le  début  de  la  première  activité,  mais  aussi  à  chaque  itération de  mise  à l’essai  de solution. D’autre part, les adultes sont plus rapides à comprendre les consignes et à anticiper une idée d’assemblage. Ces résultats vont dans le sens des résultats de Staudinger et Baltes (1996) qui avaient remarqué que les connaissances des adultes permettaient de compenser certaines difficultés cognitives face à une nouvelle tâche.  Dans un deuxième temps, l’activité CréaCube présente différents degrés de liberté créative au niveau du  processus  et  de  résolution.  Cette  nature  ouverte  est  un des aspects  qui  influence  la  diversité  des phases  qui  ont  pu  être  modélisées. L’étude de la durée des différentes phases a permis de repérer l’importance de l’alternance entre l’exploration et l’assemblage et de l’alternance entre les consignes et l’analyse. Ces observations confirment l’importance pour les apprenants de créer une alternance entre leurs connaissances et les données du problème (Bélanger et al., 2014) et l’intérêt de considérer la non linéarité du processus de résolution de problème. Enfin, le temps d’exploration plus important dans  les  deux  cas, et  pour  les  deux  populations, tend  montrer  que  la  phase  d’exploration est  un tremplin fondamental pour le développement des idées  de résolution créative à mettre en œuvre lors de  l’assemblage.  La  phase  d’exploration pourrait  contribuer  à  une  phase  d’analyse  favorisant  un apprentissage. En  effet,  nous  avons  pu  observer  qu’en  l’absence  de  solution  satisfaisante,  et  par conséquent  d’apprentissage,  le  participant  fait  un  retour  vers  une  alternance  entre  les  phases d’exploration et d’assemblage.</w:t>
            </w:r>
          </w:p>
          <w:p w:rsidR="007A28C9" w:rsidRPr="00323C48" w:rsidRDefault="007A28C9" w:rsidP="00EA3165">
            <w:pPr>
              <w:jc w:val="both"/>
              <w:rPr>
                <w:rFonts w:ascii="Arial Narrow" w:hAnsi="Arial Narrow"/>
                <w:noProof/>
                <w:sz w:val="10"/>
                <w:szCs w:val="10"/>
              </w:rPr>
            </w:pPr>
          </w:p>
          <w:p w:rsidR="007A28C9" w:rsidRDefault="007A28C9" w:rsidP="00EA3165">
            <w:pPr>
              <w:pStyle w:val="Paragraphedeliste"/>
              <w:ind w:left="0"/>
              <w:rPr>
                <w:rFonts w:ascii="Arial Narrow" w:hAnsi="Arial Narrow"/>
                <w:b/>
              </w:rPr>
            </w:pPr>
          </w:p>
        </w:tc>
      </w:tr>
      <w:tr w:rsidR="007A28C9" w:rsidRPr="00B53959" w:rsidTr="00EA3165">
        <w:tc>
          <w:tcPr>
            <w:tcW w:w="9288" w:type="dxa"/>
            <w:gridSpan w:val="2"/>
            <w:tcBorders>
              <w:top w:val="single" w:sz="4" w:space="0" w:color="auto"/>
              <w:bottom w:val="single" w:sz="4" w:space="0" w:color="auto"/>
            </w:tcBorders>
            <w:shd w:val="clear" w:color="auto" w:fill="B8CCE4" w:themeFill="accent1" w:themeFillTint="66"/>
          </w:tcPr>
          <w:p w:rsidR="007A28C9" w:rsidRDefault="007A28C9" w:rsidP="00EA3165">
            <w:pPr>
              <w:spacing w:after="60"/>
              <w:jc w:val="both"/>
              <w:rPr>
                <w:rFonts w:ascii="Arial Narrow" w:hAnsi="Arial Narrow"/>
                <w:b/>
              </w:rPr>
            </w:pPr>
            <w:r>
              <w:rPr>
                <w:rFonts w:ascii="Arial Narrow" w:hAnsi="Arial Narrow"/>
                <w:b/>
              </w:rPr>
              <w:lastRenderedPageBreak/>
              <w:t>Actions prévues à l’issue de l’expérimentation :</w:t>
            </w:r>
          </w:p>
          <w:p w:rsidR="007A28C9" w:rsidRPr="00323C48" w:rsidRDefault="007A28C9" w:rsidP="00EA3165">
            <w:pPr>
              <w:jc w:val="both"/>
              <w:rPr>
                <w:rFonts w:ascii="Arial Narrow" w:hAnsi="Arial Narrow"/>
                <w:noProof/>
                <w:sz w:val="10"/>
                <w:szCs w:val="10"/>
              </w:rPr>
            </w:pPr>
          </w:p>
          <w:p w:rsidR="007A28C9" w:rsidRDefault="007A28C9" w:rsidP="00EA3165">
            <w:pPr>
              <w:spacing w:after="60"/>
              <w:rPr>
                <w:rFonts w:ascii="Arial Narrow" w:hAnsi="Arial Narrow"/>
                <w:b/>
              </w:rPr>
            </w:pPr>
          </w:p>
        </w:tc>
      </w:tr>
      <w:tr w:rsidR="007A28C9"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7A28C9" w:rsidRPr="00A55F0E" w:rsidRDefault="007A28C9" w:rsidP="00EA3165">
            <w:pPr>
              <w:tabs>
                <w:tab w:val="left" w:pos="3969"/>
              </w:tabs>
              <w:spacing w:after="60"/>
              <w:ind w:right="1259"/>
              <w:rPr>
                <w:rFonts w:ascii="Arial Narrow" w:hAnsi="Arial Narrow"/>
                <w:b/>
              </w:rPr>
            </w:pPr>
          </w:p>
          <w:p w:rsidR="007A28C9" w:rsidRPr="00A55F0E" w:rsidRDefault="007A28C9" w:rsidP="00EA3165">
            <w:pPr>
              <w:tabs>
                <w:tab w:val="left" w:pos="3969"/>
              </w:tabs>
              <w:spacing w:after="120"/>
              <w:ind w:right="1259"/>
              <w:rPr>
                <w:rFonts w:ascii="Arial Narrow" w:hAnsi="Arial Narrow"/>
                <w:b/>
              </w:rPr>
            </w:pPr>
            <w:r w:rsidRPr="00A55F0E">
              <w:rPr>
                <w:rFonts w:ascii="Arial Narrow" w:hAnsi="Arial Narrow"/>
                <w:b/>
              </w:rPr>
              <w:t>Public(s) concerné(s) :</w:t>
            </w:r>
          </w:p>
          <w:p w:rsidR="007A28C9" w:rsidRPr="00A55F0E" w:rsidRDefault="007A28C9" w:rsidP="00EA3165">
            <w:pPr>
              <w:tabs>
                <w:tab w:val="left" w:pos="3969"/>
              </w:tabs>
              <w:ind w:right="1259"/>
              <w:rPr>
                <w:rFonts w:ascii="Arial Narrow" w:hAnsi="Arial Narrow"/>
              </w:rPr>
            </w:pPr>
            <w:r w:rsidRPr="004D1D57">
              <w:rPr>
                <w:rFonts w:ascii="Arial Narrow" w:hAnsi="Arial Narrow"/>
                <w:noProof/>
              </w:rPr>
              <w:t>Élèves</w:t>
            </w:r>
          </w:p>
          <w:p w:rsidR="007A28C9" w:rsidRPr="00E97E97" w:rsidRDefault="007A28C9" w:rsidP="00EA3165">
            <w:pPr>
              <w:tabs>
                <w:tab w:val="left" w:pos="3969"/>
              </w:tabs>
              <w:ind w:right="1259"/>
              <w:rPr>
                <w:rFonts w:ascii="Arial Narrow" w:hAnsi="Arial Narrow"/>
              </w:rPr>
            </w:pPr>
            <w:r w:rsidRPr="004D1D57">
              <w:rPr>
                <w:rFonts w:ascii="Arial Narrow" w:hAnsi="Arial Narrow"/>
                <w:noProof/>
              </w:rPr>
              <w:t>Personnels de l’Éducation nationale</w:t>
            </w:r>
          </w:p>
          <w:p w:rsidR="007A28C9" w:rsidRDefault="007A28C9" w:rsidP="00EA3165">
            <w:pPr>
              <w:tabs>
                <w:tab w:val="left" w:pos="3969"/>
              </w:tabs>
              <w:ind w:right="1259"/>
              <w:rPr>
                <w:rFonts w:ascii="Arial Narrow" w:hAnsi="Arial Narrow"/>
                <w:b/>
              </w:rPr>
            </w:pPr>
          </w:p>
          <w:p w:rsidR="007A28C9" w:rsidRDefault="007A28C9" w:rsidP="00EA3165">
            <w:pPr>
              <w:tabs>
                <w:tab w:val="left" w:pos="3969"/>
              </w:tabs>
              <w:spacing w:after="60"/>
              <w:ind w:right="1259"/>
              <w:rPr>
                <w:rFonts w:ascii="Arial Narrow" w:hAnsi="Arial Narrow"/>
                <w:b/>
              </w:rPr>
            </w:pPr>
            <w:r>
              <w:rPr>
                <w:rFonts w:ascii="Arial Narrow" w:hAnsi="Arial Narrow"/>
                <w:b/>
              </w:rPr>
              <w:t>Secteur(s) d’enseignement concerné(s) :</w:t>
            </w:r>
          </w:p>
          <w:p w:rsidR="007A28C9" w:rsidRPr="00A55F0E" w:rsidRDefault="007A28C9" w:rsidP="00EA3165">
            <w:pPr>
              <w:rPr>
                <w:rFonts w:ascii="Arial Narrow" w:hAnsi="Arial Narrow"/>
                <w:lang w:val="en-US"/>
              </w:rPr>
            </w:pPr>
            <w:r w:rsidRPr="004D1D57">
              <w:rPr>
                <w:rFonts w:ascii="Arial Narrow" w:hAnsi="Arial Narrow"/>
                <w:noProof/>
                <w:lang w:val="en-US"/>
              </w:rPr>
              <w:t>Public</w:t>
            </w:r>
          </w:p>
          <w:p w:rsidR="007A28C9" w:rsidRPr="003D3A90" w:rsidRDefault="007A28C9" w:rsidP="00EA3165">
            <w:pPr>
              <w:rPr>
                <w:rFonts w:ascii="Arial Narrow" w:hAnsi="Arial Narrow"/>
                <w:b/>
                <w:lang w:val="en-US"/>
              </w:rPr>
            </w:pPr>
          </w:p>
          <w:p w:rsidR="007A28C9" w:rsidRPr="003D3A90" w:rsidRDefault="007A28C9"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7A28C9" w:rsidRPr="00E97E97" w:rsidRDefault="007A28C9" w:rsidP="00EA3165">
            <w:pPr>
              <w:rPr>
                <w:rFonts w:ascii="Arial Narrow" w:hAnsi="Arial Narrow"/>
              </w:rPr>
            </w:pPr>
            <w:r w:rsidRPr="004D1D57">
              <w:rPr>
                <w:rFonts w:ascii="Arial Narrow" w:hAnsi="Arial Narrow"/>
                <w:noProof/>
              </w:rPr>
              <w:t>Cycle 1</w:t>
            </w:r>
          </w:p>
          <w:p w:rsidR="007A28C9" w:rsidRPr="00E97E97" w:rsidRDefault="007A28C9" w:rsidP="00EA3165">
            <w:pPr>
              <w:rPr>
                <w:rFonts w:ascii="Arial Narrow" w:hAnsi="Arial Narrow"/>
              </w:rPr>
            </w:pPr>
            <w:r w:rsidRPr="004D1D57">
              <w:rPr>
                <w:rFonts w:ascii="Arial Narrow" w:hAnsi="Arial Narrow"/>
                <w:noProof/>
              </w:rPr>
              <w:t>Cycle 2</w:t>
            </w:r>
          </w:p>
          <w:p w:rsidR="007A28C9" w:rsidRPr="00E97E97" w:rsidRDefault="007A28C9" w:rsidP="00EA3165">
            <w:pPr>
              <w:rPr>
                <w:rFonts w:ascii="Arial Narrow" w:hAnsi="Arial Narrow"/>
              </w:rPr>
            </w:pPr>
            <w:r w:rsidRPr="004D1D57">
              <w:rPr>
                <w:rFonts w:ascii="Arial Narrow" w:hAnsi="Arial Narrow"/>
                <w:noProof/>
              </w:rPr>
              <w:t>Cycle 3</w:t>
            </w:r>
          </w:p>
          <w:p w:rsidR="007A28C9" w:rsidRPr="00E97E97" w:rsidRDefault="007A28C9" w:rsidP="00EA3165">
            <w:pPr>
              <w:rPr>
                <w:rFonts w:ascii="Arial Narrow" w:hAnsi="Arial Narrow"/>
              </w:rPr>
            </w:pPr>
            <w:r w:rsidRPr="004D1D57">
              <w:rPr>
                <w:rFonts w:ascii="Arial Narrow" w:hAnsi="Arial Narrow"/>
                <w:noProof/>
              </w:rPr>
              <w:t>Cycle 4</w:t>
            </w:r>
          </w:p>
          <w:p w:rsidR="007A28C9" w:rsidRPr="00A55F0E" w:rsidRDefault="007A28C9" w:rsidP="00EA3165">
            <w:pPr>
              <w:rPr>
                <w:rFonts w:ascii="Arial Narrow" w:hAnsi="Arial Narrow"/>
              </w:rPr>
            </w:pPr>
            <w:r w:rsidRPr="004D1D57">
              <w:rPr>
                <w:rFonts w:ascii="Arial Narrow" w:hAnsi="Arial Narrow"/>
                <w:noProof/>
              </w:rPr>
              <w:t>Cycle 4</w:t>
            </w:r>
          </w:p>
          <w:p w:rsidR="007A28C9" w:rsidRPr="00A55F0E" w:rsidRDefault="007A28C9"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7A28C9" w:rsidRPr="00A4092D" w:rsidRDefault="007A28C9" w:rsidP="00EA3165">
            <w:pPr>
              <w:spacing w:after="60"/>
              <w:rPr>
                <w:rFonts w:ascii="Arial Narrow" w:hAnsi="Arial Narrow"/>
                <w:b/>
              </w:rPr>
            </w:pPr>
          </w:p>
          <w:p w:rsidR="007A28C9" w:rsidRPr="00970CF4" w:rsidRDefault="007A28C9" w:rsidP="00EA3165">
            <w:pPr>
              <w:spacing w:after="60"/>
              <w:rPr>
                <w:rFonts w:ascii="Arial Narrow" w:hAnsi="Arial Narrow"/>
                <w:b/>
              </w:rPr>
            </w:pPr>
            <w:r w:rsidRPr="00970CF4">
              <w:rPr>
                <w:rFonts w:ascii="Arial Narrow" w:hAnsi="Arial Narrow"/>
                <w:b/>
              </w:rPr>
              <w:t>Nombre concerné :</w:t>
            </w:r>
          </w:p>
          <w:p w:rsidR="007A28C9" w:rsidRDefault="007A28C9" w:rsidP="00EA3165">
            <w:pPr>
              <w:rPr>
                <w:rFonts w:ascii="Arial Narrow" w:hAnsi="Arial Narrow"/>
              </w:rPr>
            </w:pPr>
            <w:r>
              <w:rPr>
                <w:rFonts w:ascii="Arial Narrow" w:hAnsi="Arial Narrow"/>
              </w:rPr>
              <w:t xml:space="preserve">d’élèves : </w:t>
            </w:r>
            <w:r w:rsidRPr="004D1D57">
              <w:rPr>
                <w:rFonts w:ascii="Arial Narrow" w:hAnsi="Arial Narrow"/>
                <w:noProof/>
              </w:rPr>
              <w:t>120</w:t>
            </w:r>
          </w:p>
          <w:p w:rsidR="007A28C9" w:rsidRPr="00070BD1" w:rsidRDefault="007A28C9"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8</w:t>
            </w:r>
          </w:p>
          <w:p w:rsidR="007A28C9" w:rsidRDefault="007A28C9"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w:t>
            </w:r>
          </w:p>
          <w:p w:rsidR="007A28C9" w:rsidRPr="00970CF4" w:rsidRDefault="007A28C9" w:rsidP="00EA3165">
            <w:pPr>
              <w:rPr>
                <w:rFonts w:ascii="Arial Narrow" w:hAnsi="Arial Narrow"/>
              </w:rPr>
            </w:pPr>
            <w:r>
              <w:rPr>
                <w:rFonts w:ascii="Arial Narrow" w:hAnsi="Arial Narrow"/>
              </w:rPr>
              <w:t xml:space="preserve">d’écoles : </w:t>
            </w:r>
            <w:r w:rsidRPr="004D1D57">
              <w:rPr>
                <w:rFonts w:ascii="Arial Narrow" w:hAnsi="Arial Narrow"/>
                <w:noProof/>
              </w:rPr>
              <w:t>1</w:t>
            </w:r>
          </w:p>
          <w:p w:rsidR="007A28C9" w:rsidRPr="00970CF4" w:rsidRDefault="007A28C9" w:rsidP="00EA3165">
            <w:pPr>
              <w:rPr>
                <w:rFonts w:ascii="Arial Narrow" w:hAnsi="Arial Narrow"/>
              </w:rPr>
            </w:pPr>
            <w:r>
              <w:rPr>
                <w:rFonts w:ascii="Arial Narrow" w:hAnsi="Arial Narrow"/>
              </w:rPr>
              <w:t xml:space="preserve">de collèges : </w:t>
            </w:r>
            <w:r w:rsidRPr="004D1D57">
              <w:rPr>
                <w:rFonts w:ascii="Arial Narrow" w:hAnsi="Arial Narrow"/>
                <w:noProof/>
              </w:rPr>
              <w:t>2</w:t>
            </w:r>
          </w:p>
          <w:p w:rsidR="007A28C9" w:rsidRPr="00970CF4" w:rsidRDefault="007A28C9" w:rsidP="00EA3165">
            <w:pPr>
              <w:rPr>
                <w:rFonts w:ascii="Arial Narrow" w:hAnsi="Arial Narrow"/>
              </w:rPr>
            </w:pPr>
            <w:r>
              <w:rPr>
                <w:rFonts w:ascii="Arial Narrow" w:hAnsi="Arial Narrow"/>
              </w:rPr>
              <w:t xml:space="preserve">de lycées généraux et technologiques : </w:t>
            </w:r>
          </w:p>
          <w:p w:rsidR="007A28C9" w:rsidRDefault="007A28C9" w:rsidP="00EA3165">
            <w:pPr>
              <w:rPr>
                <w:rFonts w:ascii="Arial Narrow" w:hAnsi="Arial Narrow"/>
              </w:rPr>
            </w:pPr>
            <w:r>
              <w:rPr>
                <w:rFonts w:ascii="Arial Narrow" w:hAnsi="Arial Narrow"/>
              </w:rPr>
              <w:t xml:space="preserve">de lycées polyvalents : </w:t>
            </w:r>
          </w:p>
          <w:p w:rsidR="007A28C9" w:rsidRDefault="007A28C9" w:rsidP="00EA3165">
            <w:pPr>
              <w:rPr>
                <w:rFonts w:ascii="Arial Narrow" w:hAnsi="Arial Narrow"/>
              </w:rPr>
            </w:pPr>
            <w:r>
              <w:rPr>
                <w:rFonts w:ascii="Arial Narrow" w:hAnsi="Arial Narrow"/>
              </w:rPr>
              <w:t xml:space="preserve">de lycées professionnels : </w:t>
            </w:r>
          </w:p>
          <w:p w:rsidR="007A28C9" w:rsidRPr="008C3568" w:rsidRDefault="007A28C9" w:rsidP="00EA3165">
            <w:pPr>
              <w:rPr>
                <w:rFonts w:ascii="Arial Narrow" w:hAnsi="Arial Narrow"/>
                <w:sz w:val="10"/>
                <w:szCs w:val="10"/>
              </w:rPr>
            </w:pPr>
          </w:p>
        </w:tc>
      </w:tr>
      <w:tr w:rsidR="007A28C9" w:rsidRPr="00BC2080" w:rsidTr="00EA3165">
        <w:trPr>
          <w:trHeight w:val="1182"/>
        </w:trPr>
        <w:tc>
          <w:tcPr>
            <w:tcW w:w="4928" w:type="dxa"/>
            <w:vMerge/>
            <w:tcBorders>
              <w:bottom w:val="single" w:sz="4" w:space="0" w:color="auto"/>
              <w:right w:val="single" w:sz="4" w:space="0" w:color="auto"/>
            </w:tcBorders>
            <w:shd w:val="clear" w:color="auto" w:fill="auto"/>
          </w:tcPr>
          <w:p w:rsidR="007A28C9" w:rsidRPr="008C3568" w:rsidRDefault="007A28C9"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7A28C9" w:rsidRPr="00C43B98" w:rsidRDefault="007A28C9" w:rsidP="00EA3165">
            <w:pPr>
              <w:rPr>
                <w:rFonts w:ascii="Arial Narrow" w:hAnsi="Arial Narrow"/>
                <w:color w:val="FFFFFF" w:themeColor="background1"/>
                <w:sz w:val="10"/>
                <w:szCs w:val="10"/>
              </w:rPr>
            </w:pPr>
          </w:p>
        </w:tc>
      </w:tr>
      <w:tr w:rsidR="007A28C9"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7A28C9" w:rsidRDefault="007A28C9"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7A28C9" w:rsidRPr="00A55F0E" w:rsidRDefault="007A28C9" w:rsidP="00EA3165">
            <w:pPr>
              <w:jc w:val="both"/>
              <w:rPr>
                <w:rFonts w:ascii="Arial" w:hAnsi="Arial" w:cs="Arial"/>
                <w:bCs/>
                <w:color w:val="000000"/>
                <w:sz w:val="20"/>
                <w:szCs w:val="20"/>
              </w:rPr>
            </w:pPr>
            <w:r w:rsidRPr="004D1D57">
              <w:rPr>
                <w:rFonts w:ascii="Arial" w:hAnsi="Arial" w:cs="Arial"/>
                <w:bCs/>
                <w:noProof/>
                <w:color w:val="000000"/>
                <w:sz w:val="20"/>
                <w:szCs w:val="20"/>
              </w:rPr>
              <w:t>Informatique</w:t>
            </w:r>
          </w:p>
          <w:p w:rsidR="007A28C9" w:rsidRPr="00A55F0E" w:rsidRDefault="007A28C9" w:rsidP="00EA3165">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7A28C9" w:rsidRPr="00A55F0E" w:rsidRDefault="007A28C9"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7A28C9" w:rsidRPr="00F81949" w:rsidRDefault="007A28C9" w:rsidP="00EA3165">
            <w:pPr>
              <w:jc w:val="both"/>
              <w:rPr>
                <w:rFonts w:ascii="Arial Narrow" w:hAnsi="Arial Narrow"/>
              </w:rPr>
            </w:pPr>
          </w:p>
        </w:tc>
      </w:tr>
    </w:tbl>
    <w:p w:rsidR="007A28C9" w:rsidRPr="00F81949" w:rsidRDefault="007A28C9" w:rsidP="007A28C9"/>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7A28C9" w:rsidRPr="004C2BA9" w:rsidTr="00EA3165">
        <w:tc>
          <w:tcPr>
            <w:tcW w:w="9288" w:type="dxa"/>
            <w:tcBorders>
              <w:top w:val="single" w:sz="4" w:space="0" w:color="auto"/>
              <w:bottom w:val="single" w:sz="4" w:space="0" w:color="auto"/>
            </w:tcBorders>
            <w:shd w:val="clear" w:color="auto" w:fill="B6DDE8" w:themeFill="accent5" w:themeFillTint="66"/>
          </w:tcPr>
          <w:p w:rsidR="007A28C9" w:rsidRDefault="007A28C9" w:rsidP="00EA3165">
            <w:pPr>
              <w:spacing w:after="60"/>
              <w:jc w:val="both"/>
              <w:rPr>
                <w:rFonts w:ascii="Arial Narrow" w:hAnsi="Arial Narrow"/>
                <w:i/>
                <w:noProof/>
              </w:rPr>
            </w:pPr>
            <w:r>
              <w:rPr>
                <w:rFonts w:ascii="Arial Narrow" w:hAnsi="Arial Narrow"/>
                <w:b/>
              </w:rPr>
              <w:t xml:space="preserve">Objectifs de recherche : </w:t>
            </w:r>
          </w:p>
          <w:p w:rsidR="007A28C9" w:rsidRDefault="007A28C9" w:rsidP="00EA3165">
            <w:pPr>
              <w:jc w:val="both"/>
              <w:rPr>
                <w:rFonts w:ascii="Arial Narrow" w:hAnsi="Arial Narrow"/>
              </w:rPr>
            </w:pPr>
            <w:r w:rsidRPr="004D1D57">
              <w:rPr>
                <w:rFonts w:ascii="Arial Narrow" w:hAnsi="Arial Narrow"/>
                <w:noProof/>
              </w:rPr>
              <w:t>Dans le cadre du projet de recherche ANR #CreaMaker, la créativité est analysée non seulement comme une compétence individuelle mais comme un processus d'équipe, au cours duquel, les attitudes des apprenants sont considérées comme des antécédents potentiels de la co-créativité. Les attitudes analysées dans le projet intègrent la tolérance aux erreurs (Tulis, 2013), la tolérance à l'ambiguïté (DeRoma, Martin &amp; Kessler, 2003) et la prise de risque (Davies, 2003) pour créer des solutions à des problèmes donnés (Barma et al., 2015). Dans ce contexte, #CreaMaker vise avancer la recherche dans l’étude de la co-créativité combinée à ces trois attitudes dans différentes conditions d’hétérogénéité d’âge.</w:t>
            </w:r>
          </w:p>
          <w:p w:rsidR="007A28C9" w:rsidRPr="009C54AF" w:rsidRDefault="007A28C9" w:rsidP="00EA3165">
            <w:pPr>
              <w:jc w:val="both"/>
              <w:rPr>
                <w:rFonts w:ascii="Arial Narrow" w:hAnsi="Arial Narrow"/>
                <w:sz w:val="10"/>
                <w:szCs w:val="10"/>
              </w:rPr>
            </w:pPr>
          </w:p>
          <w:p w:rsidR="007A28C9" w:rsidRPr="004C2BA9" w:rsidRDefault="007A28C9" w:rsidP="00EA3165">
            <w:pPr>
              <w:rPr>
                <w:rFonts w:ascii="Arial Narrow" w:hAnsi="Arial Narrow"/>
              </w:rPr>
            </w:pPr>
          </w:p>
        </w:tc>
      </w:tr>
      <w:tr w:rsidR="007A28C9" w:rsidRPr="00B53959" w:rsidTr="00EA3165">
        <w:tc>
          <w:tcPr>
            <w:tcW w:w="9288" w:type="dxa"/>
            <w:tcBorders>
              <w:bottom w:val="single" w:sz="4" w:space="0" w:color="auto"/>
            </w:tcBorders>
            <w:shd w:val="clear" w:color="auto" w:fill="B6DDE8" w:themeFill="accent5" w:themeFillTint="66"/>
          </w:tcPr>
          <w:p w:rsidR="007A28C9" w:rsidRDefault="007A28C9" w:rsidP="00EA3165">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7A28C9" w:rsidRDefault="007A28C9" w:rsidP="00EA3165">
            <w:pPr>
              <w:jc w:val="both"/>
              <w:rPr>
                <w:rFonts w:ascii="Arial Narrow" w:hAnsi="Arial Narrow"/>
              </w:rPr>
            </w:pPr>
            <w:r w:rsidRPr="004D1D57">
              <w:rPr>
                <w:rFonts w:ascii="Arial Narrow" w:hAnsi="Arial Narrow"/>
                <w:noProof/>
              </w:rPr>
              <w:t xml:space="preserve">Les résultats de cette expérimentation nous permettent d'observer les stratégies de résolution de problèmes de manière concrète. </w:t>
            </w:r>
          </w:p>
          <w:p w:rsidR="007A28C9" w:rsidRPr="009C54AF" w:rsidRDefault="007A28C9" w:rsidP="00EA3165">
            <w:pPr>
              <w:jc w:val="both"/>
              <w:rPr>
                <w:rFonts w:ascii="Arial Narrow" w:hAnsi="Arial Narrow"/>
                <w:sz w:val="10"/>
                <w:szCs w:val="10"/>
              </w:rPr>
            </w:pPr>
          </w:p>
          <w:p w:rsidR="007A28C9" w:rsidRPr="00B53959" w:rsidRDefault="007A28C9" w:rsidP="00EA3165">
            <w:pPr>
              <w:jc w:val="both"/>
              <w:rPr>
                <w:rFonts w:ascii="Arial Narrow" w:hAnsi="Arial Narrow"/>
              </w:rPr>
            </w:pPr>
          </w:p>
        </w:tc>
      </w:tr>
      <w:tr w:rsidR="007A28C9" w:rsidRPr="004C2BA9" w:rsidTr="00EA3165">
        <w:tc>
          <w:tcPr>
            <w:tcW w:w="9288" w:type="dxa"/>
            <w:tcBorders>
              <w:top w:val="single" w:sz="4" w:space="0" w:color="auto"/>
              <w:bottom w:val="single" w:sz="4" w:space="0" w:color="auto"/>
            </w:tcBorders>
            <w:shd w:val="clear" w:color="auto" w:fill="B6DDE8" w:themeFill="accent5" w:themeFillTint="66"/>
          </w:tcPr>
          <w:p w:rsidR="007A28C9" w:rsidRPr="00B53959" w:rsidRDefault="007A28C9" w:rsidP="00EA3165">
            <w:pPr>
              <w:spacing w:after="60"/>
              <w:jc w:val="both"/>
              <w:rPr>
                <w:rFonts w:ascii="Arial Narrow" w:hAnsi="Arial Narrow"/>
                <w:b/>
              </w:rPr>
            </w:pPr>
            <w:r>
              <w:rPr>
                <w:rFonts w:ascii="Arial Narrow" w:hAnsi="Arial Narrow"/>
                <w:b/>
              </w:rPr>
              <w:t>Apports de la recherche dans le cadre de l’expérimentation :</w:t>
            </w:r>
          </w:p>
          <w:p w:rsidR="007A28C9" w:rsidRPr="0011760E" w:rsidRDefault="007A28C9" w:rsidP="00EA3165">
            <w:pPr>
              <w:jc w:val="both"/>
              <w:rPr>
                <w:rFonts w:ascii="Arial Narrow" w:hAnsi="Arial Narrow"/>
                <w:noProof/>
              </w:rPr>
            </w:pPr>
            <w:r w:rsidRPr="0011760E">
              <w:rPr>
                <w:rFonts w:ascii="Arial Narrow" w:hAnsi="Arial Narrow"/>
                <w:noProof/>
              </w:rPr>
              <w:t xml:space="preserve">Le projet de recherche ANR #CreaMaker nous permet de mieux évaluer les stratégies de résolution de problème dans le cadre d'activités créatives. </w:t>
            </w:r>
          </w:p>
          <w:p w:rsidR="007A28C9" w:rsidRPr="009C54AF" w:rsidRDefault="007A28C9" w:rsidP="00EA3165">
            <w:pPr>
              <w:jc w:val="both"/>
              <w:rPr>
                <w:rFonts w:ascii="Arial Narrow" w:hAnsi="Arial Narrow"/>
                <w:sz w:val="10"/>
                <w:szCs w:val="10"/>
              </w:rPr>
            </w:pPr>
          </w:p>
          <w:p w:rsidR="007A28C9" w:rsidRPr="004C2BA9" w:rsidRDefault="007A28C9" w:rsidP="00EA3165">
            <w:pPr>
              <w:rPr>
                <w:rFonts w:ascii="Arial Narrow" w:hAnsi="Arial Narrow"/>
              </w:rPr>
            </w:pPr>
          </w:p>
        </w:tc>
      </w:tr>
      <w:tr w:rsidR="007A28C9" w:rsidRPr="004C2BA9" w:rsidTr="00EA3165">
        <w:tc>
          <w:tcPr>
            <w:tcW w:w="9288" w:type="dxa"/>
            <w:tcBorders>
              <w:top w:val="single" w:sz="4" w:space="0" w:color="auto"/>
              <w:bottom w:val="single" w:sz="4" w:space="0" w:color="auto"/>
            </w:tcBorders>
            <w:shd w:val="clear" w:color="auto" w:fill="B6DDE8" w:themeFill="accent5" w:themeFillTint="66"/>
          </w:tcPr>
          <w:p w:rsidR="007A28C9" w:rsidRPr="00B53959" w:rsidRDefault="007A28C9" w:rsidP="00EA3165">
            <w:pPr>
              <w:spacing w:after="60"/>
              <w:jc w:val="both"/>
              <w:rPr>
                <w:rFonts w:ascii="Arial Narrow" w:hAnsi="Arial Narrow"/>
                <w:b/>
              </w:rPr>
            </w:pPr>
            <w:r>
              <w:rPr>
                <w:rFonts w:ascii="Arial Narrow" w:hAnsi="Arial Narrow"/>
                <w:b/>
              </w:rPr>
              <w:t xml:space="preserve">Modalités de valorisation de la recherche : </w:t>
            </w:r>
          </w:p>
          <w:p w:rsidR="007A28C9" w:rsidRPr="0011760E" w:rsidRDefault="007A28C9" w:rsidP="00EA3165">
            <w:pPr>
              <w:jc w:val="both"/>
              <w:rPr>
                <w:rFonts w:ascii="Arial Narrow" w:hAnsi="Arial Narrow"/>
                <w:noProof/>
              </w:rPr>
            </w:pPr>
            <w:r w:rsidRPr="0011760E">
              <w:rPr>
                <w:rFonts w:ascii="Arial Narrow" w:hAnsi="Arial Narrow"/>
                <w:noProof/>
              </w:rPr>
              <w:t xml:space="preserve">Des résultats de recherche sont partagés à la fois avec les acteurs éducatifs et les élèves que sous forme de publications scientifiques. Dans le cadre du projet ANR #CreaMaker nous avons financer une thèse de doctorat et des contrats-étudiants qui ont pu bénéficié d'une formation à la méthodologie du projet et ses résultats. </w:t>
            </w:r>
          </w:p>
          <w:p w:rsidR="007A28C9" w:rsidRPr="0011760E" w:rsidRDefault="007A28C9" w:rsidP="00EA3165">
            <w:pPr>
              <w:jc w:val="both"/>
              <w:rPr>
                <w:rFonts w:ascii="Arial Narrow" w:hAnsi="Arial Narrow"/>
                <w:noProof/>
              </w:rPr>
            </w:pPr>
            <w:r w:rsidRPr="0011760E">
              <w:rPr>
                <w:rFonts w:ascii="Arial Narrow" w:hAnsi="Arial Narrow"/>
                <w:noProof/>
              </w:rPr>
              <w:t>Nous présentons ici quelques résultats : https://creamaker.wordpress.com/</w:t>
            </w:r>
          </w:p>
          <w:p w:rsidR="007A28C9" w:rsidRPr="0011760E" w:rsidRDefault="007A28C9" w:rsidP="00EA3165">
            <w:pPr>
              <w:jc w:val="both"/>
              <w:rPr>
                <w:rFonts w:ascii="Arial Narrow" w:hAnsi="Arial Narrow"/>
                <w:noProof/>
              </w:rPr>
            </w:pPr>
            <w:r w:rsidRPr="0011760E">
              <w:rPr>
                <w:rFonts w:ascii="Arial Narrow" w:hAnsi="Arial Narrow"/>
                <w:noProof/>
              </w:rPr>
              <w:t>Romero, M. (2019, July). Analyzing Cognitive Flexibility in Older Adults Through Playing with Robotic Cubes. In International Conference on Human-Computer Interaction (pp. 545-553). Springer, Cham.</w:t>
            </w:r>
          </w:p>
          <w:p w:rsidR="007A28C9" w:rsidRPr="0011760E" w:rsidRDefault="007A28C9" w:rsidP="00EA3165">
            <w:pPr>
              <w:jc w:val="both"/>
              <w:rPr>
                <w:rFonts w:ascii="Arial Narrow" w:hAnsi="Arial Narrow"/>
                <w:noProof/>
              </w:rPr>
            </w:pPr>
            <w:r w:rsidRPr="0011760E">
              <w:rPr>
                <w:rFonts w:ascii="Arial Narrow" w:hAnsi="Arial Narrow"/>
                <w:noProof/>
              </w:rPr>
              <w:t>Romero, M., DeBlois, L., &amp; Pavel, A. (2018). Créacube, comparaison de la résolution créative de problèmes, chez des enfants et des adultes, par le biais d’une tâche de robotique modulaire. MathémaTICE (61).</w:t>
            </w:r>
          </w:p>
          <w:p w:rsidR="007A28C9" w:rsidRPr="0011760E" w:rsidRDefault="007A28C9" w:rsidP="00EA3165">
            <w:pPr>
              <w:jc w:val="both"/>
              <w:rPr>
                <w:rFonts w:ascii="Arial Narrow" w:hAnsi="Arial Narrow"/>
                <w:noProof/>
              </w:rPr>
            </w:pPr>
            <w:r w:rsidRPr="0011760E">
              <w:rPr>
                <w:rFonts w:ascii="Arial Narrow" w:hAnsi="Arial Narrow"/>
                <w:noProof/>
              </w:rPr>
              <w:t>Romero, M., David, D., &amp; Lille, B. (2018, December). CreaCube, a Playful Activity with Modular Robotics. In International Conference on Games and Learning Alliance (pp. 397-405). Springer, Cham.</w:t>
            </w:r>
          </w:p>
          <w:p w:rsidR="007A28C9" w:rsidRPr="0011760E" w:rsidRDefault="007A28C9" w:rsidP="00EA3165">
            <w:pPr>
              <w:jc w:val="both"/>
              <w:rPr>
                <w:rFonts w:ascii="Arial Narrow" w:hAnsi="Arial Narrow"/>
                <w:noProof/>
              </w:rPr>
            </w:pPr>
            <w:r w:rsidRPr="0011760E">
              <w:rPr>
                <w:rFonts w:ascii="Arial Narrow" w:hAnsi="Arial Narrow"/>
                <w:noProof/>
              </w:rPr>
              <w:t>Romero, M., &amp; Loos, E. F. (2018). Playing with robotic cubes: age matters. Intergenerationality in a digital world: Proposals of activities. Publisher: Edições Universitárias Lusófonas.</w:t>
            </w:r>
          </w:p>
          <w:p w:rsidR="007A28C9" w:rsidRPr="0011760E" w:rsidRDefault="007A28C9" w:rsidP="00EA3165">
            <w:pPr>
              <w:jc w:val="both"/>
              <w:rPr>
                <w:rFonts w:ascii="Arial Narrow" w:hAnsi="Arial Narrow"/>
                <w:noProof/>
              </w:rPr>
            </w:pPr>
            <w:r w:rsidRPr="0011760E">
              <w:rPr>
                <w:rFonts w:ascii="Arial Narrow" w:hAnsi="Arial Narrow"/>
                <w:noProof/>
              </w:rPr>
              <w:t>Romero, M. (2017). CreaCube, analyse de la résolution créative de</w:t>
            </w:r>
          </w:p>
          <w:p w:rsidR="007A28C9" w:rsidRPr="0011760E" w:rsidRDefault="007A28C9" w:rsidP="00EA3165">
            <w:pPr>
              <w:jc w:val="both"/>
              <w:rPr>
                <w:rFonts w:ascii="Arial Narrow" w:hAnsi="Arial Narrow"/>
                <w:noProof/>
              </w:rPr>
            </w:pPr>
            <w:r w:rsidRPr="0011760E">
              <w:rPr>
                <w:rFonts w:ascii="Arial Narrow" w:hAnsi="Arial Narrow"/>
                <w:noProof/>
              </w:rPr>
              <w:t>problèmes par le biais d’une tâche de robotique</w:t>
            </w:r>
          </w:p>
          <w:p w:rsidR="007A28C9" w:rsidRPr="0011760E" w:rsidRDefault="007A28C9" w:rsidP="00EA3165">
            <w:pPr>
              <w:jc w:val="both"/>
              <w:rPr>
                <w:rFonts w:ascii="Arial Narrow" w:hAnsi="Arial Narrow"/>
                <w:noProof/>
              </w:rPr>
            </w:pPr>
            <w:r w:rsidRPr="0011760E">
              <w:rPr>
                <w:rFonts w:ascii="Arial Narrow" w:hAnsi="Arial Narrow"/>
                <w:noProof/>
              </w:rPr>
              <w:t>modulaire. JNRR 2017. https://jnrr2017.sciencesconf.org/167023/document</w:t>
            </w:r>
          </w:p>
          <w:p w:rsidR="007A28C9" w:rsidRPr="0011760E" w:rsidRDefault="007A28C9" w:rsidP="00EA3165">
            <w:pPr>
              <w:jc w:val="both"/>
              <w:rPr>
                <w:rFonts w:ascii="Arial Narrow" w:hAnsi="Arial Narrow"/>
                <w:noProof/>
              </w:rPr>
            </w:pPr>
          </w:p>
          <w:p w:rsidR="007A28C9" w:rsidRPr="004C2BA9" w:rsidRDefault="007A28C9"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8C9"/>
    <w:rsid w:val="0011760E"/>
    <w:rsid w:val="00353EEF"/>
    <w:rsid w:val="00512F51"/>
    <w:rsid w:val="007A28C9"/>
    <w:rsid w:val="00942A30"/>
    <w:rsid w:val="00A44EC3"/>
    <w:rsid w:val="00FC1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8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A28C9"/>
    <w:pPr>
      <w:ind w:left="720"/>
      <w:contextualSpacing/>
    </w:pPr>
  </w:style>
  <w:style w:type="table" w:customStyle="1" w:styleId="Grilledutableau1">
    <w:name w:val="Grille du tableau1"/>
    <w:basedOn w:val="TableauNormal"/>
    <w:next w:val="Grilledutableau"/>
    <w:uiPriority w:val="59"/>
    <w:rsid w:val="007A2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A2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Policepardfaut"/>
    <w:rsid w:val="001176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8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A28C9"/>
    <w:pPr>
      <w:ind w:left="720"/>
      <w:contextualSpacing/>
    </w:pPr>
  </w:style>
  <w:style w:type="table" w:customStyle="1" w:styleId="Grilledutableau1">
    <w:name w:val="Grille du tableau1"/>
    <w:basedOn w:val="TableauNormal"/>
    <w:next w:val="Grilledutableau"/>
    <w:uiPriority w:val="59"/>
    <w:rsid w:val="007A2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A2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Policepardfaut"/>
    <w:rsid w:val="00117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6852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2021-02-01T14:22:00Z</dcterms:created>
  <dcterms:modified xsi:type="dcterms:W3CDTF">2021-02-01T14:23:00Z</dcterms:modified>
</cp:coreProperties>
</file>