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BA5002" w:rsidRPr="00B53959" w14:paraId="0AF266D1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43AC31C" w14:textId="77777777" w:rsidR="00BA5002" w:rsidRDefault="00BA5002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LILLE</w:t>
            </w:r>
          </w:p>
          <w:p w14:paraId="3D5BEF26" w14:textId="77777777" w:rsidR="00BA5002" w:rsidRPr="00B53959" w:rsidRDefault="00BA5002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BA5002" w:rsidRPr="00B53959" w14:paraId="2816C382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105F0385" w14:textId="77777777" w:rsidR="00BA5002" w:rsidRPr="00D86A06" w:rsidRDefault="00BA5002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3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AGIR POUR L'ECOLE : PROGRAMME "LECTURE"</w:t>
            </w:r>
          </w:p>
        </w:tc>
      </w:tr>
    </w:tbl>
    <w:p w14:paraId="0C5722EE" w14:textId="77777777" w:rsidR="00BA5002" w:rsidRPr="00622211" w:rsidRDefault="00BA5002" w:rsidP="00BA5002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05E3A9A1" w14:textId="77777777" w:rsidR="00BA5002" w:rsidRDefault="00BA5002" w:rsidP="00BA5002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9/1/2011</w:t>
      </w:r>
    </w:p>
    <w:p w14:paraId="09EF3C90" w14:textId="77777777" w:rsidR="00BA5002" w:rsidRDefault="00BA5002" w:rsidP="00BA5002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8/1/2021</w:t>
      </w:r>
    </w:p>
    <w:p w14:paraId="39F32732" w14:textId="77777777" w:rsidR="00BA5002" w:rsidRPr="00622211" w:rsidRDefault="00BA5002" w:rsidP="00BA5002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40337C8F" w14:textId="77777777" w:rsidR="00BA5002" w:rsidRPr="003F3D8D" w:rsidRDefault="00BA5002" w:rsidP="00BA5002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123E5A29" w14:textId="77777777" w:rsidR="00BA5002" w:rsidRPr="00622211" w:rsidRDefault="00BA5002" w:rsidP="00BA5002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BA5002" w:rsidRPr="00B53959" w14:paraId="50D0F479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15930F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3FB7A12F" w14:textId="77777777" w:rsidR="00BA5002" w:rsidRPr="004D1D57" w:rsidRDefault="00BA5002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Le projet pédagogique LECTURE initié et conçu par l'association " Agir pour l'école " a pour objectif de favoriser la réussite de tous les élèves dans l'apprentissage de la lecture. </w:t>
            </w:r>
          </w:p>
          <w:p w14:paraId="02AF4FEF" w14:textId="77777777" w:rsidR="00BA5002" w:rsidRPr="004D1D57" w:rsidRDefault="00BA5002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Le projet repose sur une organisation spécifique de la classe et de l'emploi du temps. </w:t>
            </w:r>
          </w:p>
          <w:p w14:paraId="1A9A3EB8" w14:textId="77777777" w:rsidR="00BA5002" w:rsidRDefault="00BA5002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intervenants de l'association transmettent une méthode dont l'application repose ensuite sur les enseignants. L'association rémunère des intervenants auprès de petits groupes d'élèves pour répéter les leçons réalisées par l'enseignant.</w:t>
            </w:r>
          </w:p>
          <w:p w14:paraId="2A64E9D8" w14:textId="77777777" w:rsidR="00BA5002" w:rsidRPr="00622211" w:rsidRDefault="00BA5002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C6BDB82" w14:textId="77777777" w:rsidR="00BA5002" w:rsidRPr="00B53959" w:rsidRDefault="00BA5002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A5002" w:rsidRPr="00B53959" w14:paraId="441353C6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3FB5AC" w14:textId="77777777" w:rsidR="00BA5002" w:rsidRDefault="00BA5002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56298104" w14:textId="77777777" w:rsidR="00BA5002" w:rsidRPr="004C2BA9" w:rsidRDefault="00BA5002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11476846" w14:textId="77777777" w:rsidR="00BA5002" w:rsidRPr="004C2BA9" w:rsidRDefault="00BA5002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Education prioritaire</w:t>
            </w:r>
          </w:p>
          <w:p w14:paraId="7B77F588" w14:textId="77777777" w:rsidR="00BA5002" w:rsidRPr="00323C48" w:rsidRDefault="00BA5002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BA5002" w:rsidRPr="00B53959" w14:paraId="494CC73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481A607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6CCB1EE0" w14:textId="77777777" w:rsidR="00BA5002" w:rsidRPr="00031B92" w:rsidRDefault="00BA5002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meilleure maîtrise des compétences en lecture de la part des élèves des écoles engagées dans le dispositif.</w:t>
            </w:r>
          </w:p>
          <w:p w14:paraId="476C6A64" w14:textId="77777777" w:rsidR="00BA5002" w:rsidRPr="00323C48" w:rsidRDefault="00BA5002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53A5147" w14:textId="77777777" w:rsidR="00BA5002" w:rsidRPr="00117827" w:rsidRDefault="00BA5002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BA5002" w:rsidRPr="00B53959" w14:paraId="0D0A863D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18277B2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2536B9CA" w14:textId="77777777" w:rsidR="00BA5002" w:rsidRDefault="00BA5002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Évaluation de la maitrise par les élèves des compétences en lecture et écriture.</w:t>
            </w:r>
          </w:p>
          <w:p w14:paraId="3F8230DB" w14:textId="77777777" w:rsidR="00BA5002" w:rsidRPr="00323C48" w:rsidRDefault="00BA5002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0991D6D" w14:textId="77777777" w:rsidR="00BA5002" w:rsidRPr="00073B9C" w:rsidRDefault="00BA5002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BA5002" w:rsidRPr="00B53959" w14:paraId="119D2573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7CC8902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2CB0F592" w14:textId="77777777" w:rsidR="00BA5002" w:rsidRDefault="00BA5002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L'association " Agir pour l'école "</w:t>
            </w:r>
          </w:p>
          <w:p w14:paraId="1BC9AA1F" w14:textId="77777777" w:rsidR="00BA5002" w:rsidRPr="00323C48" w:rsidRDefault="00BA5002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2903710" w14:textId="77777777" w:rsidR="00BA5002" w:rsidRDefault="00BA5002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A5002" w:rsidRPr="00B53959" w14:paraId="33317998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4B26EF0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0A5A2F7C" w14:textId="5DDFACAD" w:rsidR="00BA5002" w:rsidRPr="00AF50CC" w:rsidRDefault="00BA5002" w:rsidP="00AF50CC">
            <w:pPr>
              <w:jc w:val="both"/>
              <w:rPr>
                <w:rFonts w:ascii="Arial Narrow" w:hAnsi="Arial Narrow"/>
                <w:noProof/>
              </w:rPr>
            </w:pPr>
            <w:r w:rsidRPr="00AF50CC">
              <w:rPr>
                <w:rFonts w:ascii="Arial Narrow" w:hAnsi="Arial Narrow"/>
                <w:noProof/>
              </w:rPr>
              <w:t>Impact sur les performances scolaires</w:t>
            </w:r>
            <w:r w:rsidR="00AF50CC">
              <w:rPr>
                <w:rFonts w:ascii="Arial Narrow" w:hAnsi="Arial Narrow"/>
                <w:noProof/>
              </w:rPr>
              <w:t xml:space="preserve">,comportement, bien-être et compétences pédagogiques : </w:t>
            </w:r>
          </w:p>
          <w:p w14:paraId="691B5CDD" w14:textId="77777777" w:rsidR="00BA5002" w:rsidRDefault="00BA5002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résultats communiqués par l'association sont ceux des élèves de CP (2015-2016) dans une publication "Effects of policy and educational interventions intended to reduce difficulties in literacy skills in grade 1." Sont mentionnés un rattrapage de 30% de la difficulté en compréhension écrite en fin de CP et le développement de la fluence.</w:t>
            </w:r>
          </w:p>
          <w:p w14:paraId="59C686AA" w14:textId="77777777" w:rsidR="00BA5002" w:rsidRPr="00323C48" w:rsidRDefault="00BA5002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02915AE" w14:textId="77777777" w:rsidR="00BA5002" w:rsidRDefault="00BA5002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BA5002" w:rsidRPr="00B53959" w14:paraId="4A8AD693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C129DB4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4138C1EE" w14:textId="77777777" w:rsidR="00BA5002" w:rsidRPr="00323C48" w:rsidRDefault="00BA5002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974A280" w14:textId="77777777" w:rsidR="00BA5002" w:rsidRDefault="00BA5002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A5002" w:rsidRPr="00B53959" w14:paraId="66E698BE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A995" w14:textId="77777777" w:rsidR="00BA5002" w:rsidRPr="001D1E3E" w:rsidRDefault="00BA5002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56B48D59" w14:textId="77777777" w:rsidR="00BA5002" w:rsidRPr="001D1E3E" w:rsidRDefault="00BA5002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679F6F77" w14:textId="77777777" w:rsidR="00BA5002" w:rsidRPr="001D1E3E" w:rsidRDefault="00BA5002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6A8403CA" w14:textId="77777777" w:rsidR="00BA5002" w:rsidRDefault="00BA5002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65925B3C" w14:textId="77777777" w:rsidR="00BA5002" w:rsidRDefault="00BA5002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3AC2FA7E" w14:textId="77777777" w:rsidR="00BA5002" w:rsidRPr="00E97E97" w:rsidRDefault="00BA5002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Public</w:t>
            </w:r>
          </w:p>
          <w:p w14:paraId="65108A9D" w14:textId="77777777" w:rsidR="00BA5002" w:rsidRPr="001D1E3E" w:rsidRDefault="00BA5002" w:rsidP="003D3533">
            <w:pPr>
              <w:rPr>
                <w:rFonts w:ascii="Arial Narrow" w:hAnsi="Arial Narrow"/>
                <w:b/>
              </w:rPr>
            </w:pPr>
          </w:p>
          <w:p w14:paraId="46A296E1" w14:textId="77777777" w:rsidR="00BA5002" w:rsidRPr="001D1E3E" w:rsidRDefault="00BA5002" w:rsidP="003D3533">
            <w:pPr>
              <w:spacing w:after="60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 xml:space="preserve">Cycle(s) concerné(s) : </w:t>
            </w:r>
          </w:p>
          <w:p w14:paraId="66831A84" w14:textId="77777777" w:rsidR="00BA5002" w:rsidRPr="00E97E97" w:rsidRDefault="00BA5002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1</w:t>
            </w:r>
          </w:p>
          <w:p w14:paraId="4E9D1F8E" w14:textId="77777777" w:rsidR="00BA5002" w:rsidRPr="00E97E97" w:rsidRDefault="00BA5002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2</w:t>
            </w:r>
          </w:p>
          <w:p w14:paraId="7CD0701C" w14:textId="77777777" w:rsidR="00BA5002" w:rsidRPr="00F81949" w:rsidRDefault="00BA5002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69E718" w14:textId="77777777" w:rsidR="00BA5002" w:rsidRPr="00A4092D" w:rsidRDefault="00BA5002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70D3668C" w14:textId="77777777" w:rsidR="00BA5002" w:rsidRPr="00970CF4" w:rsidRDefault="00BA5002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7911F919" w14:textId="77777777" w:rsidR="00BA5002" w:rsidRDefault="00BA5002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1232</w:t>
            </w:r>
          </w:p>
          <w:p w14:paraId="418E382E" w14:textId="77777777" w:rsidR="00BA5002" w:rsidRPr="00070BD1" w:rsidRDefault="00BA5002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94</w:t>
            </w:r>
          </w:p>
          <w:p w14:paraId="080E1F8C" w14:textId="77777777" w:rsidR="00BA5002" w:rsidRDefault="00BA5002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25</w:t>
            </w:r>
          </w:p>
          <w:p w14:paraId="20DCE161" w14:textId="77777777" w:rsidR="00BA5002" w:rsidRPr="00970CF4" w:rsidRDefault="00BA5002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25</w:t>
            </w:r>
          </w:p>
          <w:p w14:paraId="54BEFD76" w14:textId="77777777" w:rsidR="00BA5002" w:rsidRPr="00970CF4" w:rsidRDefault="00BA5002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3E0E6CB0" w14:textId="77777777" w:rsidR="00BA5002" w:rsidRPr="00970CF4" w:rsidRDefault="00BA5002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4A6C6717" w14:textId="77777777" w:rsidR="00BA5002" w:rsidRDefault="00BA5002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3BBBBE50" w14:textId="77777777" w:rsidR="00BA5002" w:rsidRDefault="00BA5002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2C80DE8D" w14:textId="77777777" w:rsidR="00BA5002" w:rsidRPr="008C3568" w:rsidRDefault="00BA5002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BA5002" w:rsidRPr="00BC2080" w14:paraId="0E5A09B9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A2D7" w14:textId="77777777" w:rsidR="00BA5002" w:rsidRPr="008C3568" w:rsidRDefault="00BA5002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17BED0B9" w14:textId="77777777" w:rsidR="00BA5002" w:rsidRPr="00C43B98" w:rsidRDefault="00BA5002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BA5002" w:rsidRPr="00F81949" w14:paraId="2173664D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2F33C0BF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6F761E40" w14:textId="77777777" w:rsidR="00BA5002" w:rsidRPr="00F81949" w:rsidRDefault="00BA5002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32864EC" w14:textId="77777777" w:rsidR="00BA5002" w:rsidRPr="00F81949" w:rsidRDefault="00BA5002" w:rsidP="00BA5002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BA5002" w:rsidRPr="004C2BA9" w14:paraId="0813360C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FB4A07B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6F7D53FD" w14:textId="77777777" w:rsidR="00BA5002" w:rsidRPr="009C54AF" w:rsidRDefault="00BA5002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60C11CA" w14:textId="77777777" w:rsidR="00BA5002" w:rsidRPr="004C2BA9" w:rsidRDefault="00BA5002" w:rsidP="003D3533">
            <w:pPr>
              <w:rPr>
                <w:rFonts w:ascii="Arial Narrow" w:hAnsi="Arial Narrow"/>
              </w:rPr>
            </w:pPr>
          </w:p>
        </w:tc>
      </w:tr>
      <w:tr w:rsidR="00BA5002" w:rsidRPr="00B53959" w14:paraId="4D677302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40D1EA8" w14:textId="77777777" w:rsidR="00BA5002" w:rsidRDefault="00BA5002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665E0AFD" w14:textId="77777777" w:rsidR="00BA5002" w:rsidRPr="009C54AF" w:rsidRDefault="00BA5002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0D884B2" w14:textId="77777777" w:rsidR="00BA5002" w:rsidRPr="00B53959" w:rsidRDefault="00BA5002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A5002" w:rsidRPr="004C2BA9" w14:paraId="05E5181E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4B40578" w14:textId="77777777" w:rsidR="00BA5002" w:rsidRPr="00B53959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59429C17" w14:textId="77777777" w:rsidR="00BA5002" w:rsidRPr="009C54AF" w:rsidRDefault="00BA5002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6B6B13D7" w14:textId="77777777" w:rsidR="00BA5002" w:rsidRPr="004C2BA9" w:rsidRDefault="00BA5002" w:rsidP="003D3533">
            <w:pPr>
              <w:rPr>
                <w:rFonts w:ascii="Arial Narrow" w:hAnsi="Arial Narrow"/>
              </w:rPr>
            </w:pPr>
          </w:p>
        </w:tc>
      </w:tr>
      <w:tr w:rsidR="00BA5002" w:rsidRPr="004C2BA9" w14:paraId="205733FA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40DAF7DD" w14:textId="77777777" w:rsidR="00BA5002" w:rsidRPr="00B53959" w:rsidRDefault="00BA5002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2B639F45" w14:textId="77777777" w:rsidR="00BA5002" w:rsidRPr="009C54AF" w:rsidRDefault="00BA5002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7E1E692" w14:textId="77777777" w:rsidR="00BA5002" w:rsidRPr="004C2BA9" w:rsidRDefault="00BA5002" w:rsidP="003D3533">
            <w:pPr>
              <w:rPr>
                <w:rFonts w:ascii="Arial Narrow" w:hAnsi="Arial Narrow"/>
              </w:rPr>
            </w:pPr>
          </w:p>
        </w:tc>
      </w:tr>
    </w:tbl>
    <w:p w14:paraId="4A090E4E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02"/>
    <w:rsid w:val="00094BC2"/>
    <w:rsid w:val="00353EEF"/>
    <w:rsid w:val="007F4565"/>
    <w:rsid w:val="00843EA1"/>
    <w:rsid w:val="008F570B"/>
    <w:rsid w:val="00942A30"/>
    <w:rsid w:val="00AF50CC"/>
    <w:rsid w:val="00BA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4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500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A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A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500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A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A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2021-01-29T14:04:00Z</dcterms:created>
  <dcterms:modified xsi:type="dcterms:W3CDTF">2021-01-29T14:05:00Z</dcterms:modified>
</cp:coreProperties>
</file>